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jjsf20260627_10q.htm"/>
      <w:bookmarkStart w:id="1" w:name="ksjjsf20260627_10q"/>
      <w:bookmarkEnd w:id="0"/>
      <w:bookmarkEnd w:id="1"/>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230"/>
        <w:gridCol w:w="7160"/>
      </w:tblGrid>
      <w:tr>
        <w:trPr/>
        <w:tc>
          <w:tcPr>
            <w:tcW w:w="230" w:type="dxa"/>
            <w:tcBorders/>
            <w:vAlign w:val="center"/>
          </w:tcPr>
          <w:p>
            <w:pPr>
              <w:pStyle w:val="TableContents"/>
              <w:bidi w:val="0"/>
              <w:spacing w:before="0" w:after="0"/>
              <w:ind w:left="0" w:right="0" w:hanging="0"/>
              <w:jc w:val="left"/>
              <w:rPr/>
            </w:pPr>
            <w:r>
              <w:rPr/>
              <w:t>☒</w:t>
            </w:r>
          </w:p>
        </w:tc>
        <w:tc>
          <w:tcPr>
            <w:tcW w:w="7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60"/>
        <w:gridCol w:w="2885"/>
      </w:tblGrid>
      <w:tr>
        <w:trPr/>
        <w:tc>
          <w:tcPr>
            <w:tcW w:w="60" w:type="dxa"/>
            <w:tcBorders/>
            <w:vAlign w:val="center"/>
          </w:tcPr>
          <w:p>
            <w:pPr>
              <w:pStyle w:val="TableContents"/>
              <w:bidi w:val="0"/>
              <w:spacing w:before="0" w:after="0"/>
              <w:ind w:left="0" w:right="0" w:hanging="0"/>
              <w:jc w:val="left"/>
              <w:rPr/>
            </w:pPr>
            <w:r>
              <w:rPr/>
              <w:t> </w:t>
            </w:r>
          </w:p>
        </w:tc>
        <w:tc>
          <w:tcPr>
            <w:tcW w:w="28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period ended June 27,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30"/>
        <w:gridCol w:w="7235"/>
      </w:tblGrid>
      <w:tr>
        <w:trPr/>
        <w:tc>
          <w:tcPr>
            <w:tcW w:w="230" w:type="dxa"/>
            <w:tcBorders/>
            <w:vAlign w:val="center"/>
          </w:tcPr>
          <w:p>
            <w:pPr>
              <w:pStyle w:val="TableContents"/>
              <w:bidi w:val="0"/>
              <w:spacing w:before="0" w:after="0"/>
              <w:ind w:left="0" w:right="0" w:hanging="0"/>
              <w:jc w:val="left"/>
              <w:rPr/>
            </w:pPr>
            <w:r>
              <w:rPr/>
              <w:t>☐</w:t>
            </w:r>
          </w:p>
        </w:tc>
        <w:tc>
          <w:tcPr>
            <w:tcW w:w="7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60"/>
        <w:gridCol w:w="3755"/>
      </w:tblGrid>
      <w:tr>
        <w:trPr/>
        <w:tc>
          <w:tcPr>
            <w:tcW w:w="60" w:type="dxa"/>
            <w:tcBorders/>
            <w:vAlign w:val="center"/>
          </w:tcPr>
          <w:p>
            <w:pPr>
              <w:pStyle w:val="TableContents"/>
              <w:bidi w:val="0"/>
              <w:spacing w:before="0" w:after="0"/>
              <w:ind w:left="0" w:right="0" w:hanging="0"/>
              <w:jc w:val="left"/>
              <w:rPr/>
            </w:pPr>
            <w:r>
              <w:rPr/>
              <w:t> </w:t>
            </w:r>
          </w:p>
        </w:tc>
        <w:tc>
          <w:tcPr>
            <w:tcW w:w="37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transition period from _____ to 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0-14616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J&amp;J SNACK FOODS CORP.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4295"/>
        <w:gridCol w:w="3440"/>
      </w:tblGrid>
      <w:tr>
        <w:trPr/>
        <w:tc>
          <w:tcPr>
            <w:tcW w:w="4295" w:type="dxa"/>
            <w:tcBorders/>
            <w:vAlign w:val="center"/>
          </w:tcPr>
          <w:p>
            <w:pPr>
              <w:pStyle w:val="TableContents"/>
              <w:bidi w:val="0"/>
              <w:spacing w:before="0" w:after="283"/>
              <w:jc w:val="center"/>
              <w:rPr>
                <w:b/>
              </w:rPr>
            </w:pPr>
            <w:r>
              <w:rPr>
                <w:b/>
              </w:rPr>
              <w:t>New Jersey</w:t>
            </w:r>
          </w:p>
        </w:tc>
        <w:tc>
          <w:tcPr>
            <w:tcW w:w="344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center"/>
              <w:rPr/>
            </w:pPr>
            <w:r>
              <w:rPr/>
              <w:t>(State or other jurisdiction of incorporation or</w:t>
            </w:r>
          </w:p>
        </w:tc>
        <w:tc>
          <w:tcPr>
            <w:tcW w:w="3440" w:type="dxa"/>
            <w:tcBorders/>
            <w:vAlign w:val="center"/>
          </w:tcPr>
          <w:p>
            <w:pPr>
              <w:pStyle w:val="TableContents"/>
              <w:bidi w:val="0"/>
              <w:spacing w:before="0" w:after="283"/>
              <w:jc w:val="center"/>
              <w:rPr>
                <w:b/>
              </w:rPr>
            </w:pPr>
            <w:r>
              <w:rPr>
                <w:b/>
              </w:rPr>
              <w:t>22-1935537</w:t>
            </w:r>
          </w:p>
        </w:tc>
      </w:tr>
      <w:tr>
        <w:trPr/>
        <w:tc>
          <w:tcPr>
            <w:tcW w:w="4295" w:type="dxa"/>
            <w:tcBorders/>
            <w:vAlign w:val="center"/>
          </w:tcPr>
          <w:p>
            <w:pPr>
              <w:pStyle w:val="TableContents"/>
              <w:bidi w:val="0"/>
              <w:spacing w:before="0" w:after="283"/>
              <w:jc w:val="center"/>
              <w:rPr/>
            </w:pPr>
            <w:r>
              <w:rPr/>
              <w:t>organization)</w:t>
            </w:r>
          </w:p>
        </w:tc>
        <w:tc>
          <w:tcPr>
            <w:tcW w:w="3440" w:type="dxa"/>
            <w:tcBorders/>
            <w:vAlign w:val="center"/>
          </w:tcPr>
          <w:p>
            <w:pPr>
              <w:pStyle w:val="TableContents"/>
              <w:bidi w:val="0"/>
              <w:spacing w:before="0" w:after="283"/>
              <w:jc w:val="center"/>
              <w:rPr/>
            </w:pPr>
            <w:r>
              <w:rPr/>
              <w:t>(I.R.S. Employer Identification No.)</w:t>
            </w:r>
          </w:p>
        </w:tc>
      </w:tr>
      <w:tr>
        <w:trPr/>
        <w:tc>
          <w:tcPr>
            <w:tcW w:w="429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center"/>
              <w:rPr>
                <w:b/>
              </w:rPr>
            </w:pPr>
            <w:r>
              <w:rPr>
                <w:b/>
              </w:rPr>
              <w:t>350 Fellowship Road,</w:t>
            </w:r>
          </w:p>
        </w:tc>
        <w:tc>
          <w:tcPr>
            <w:tcW w:w="3440" w:type="dxa"/>
            <w:tcBorders/>
            <w:vAlign w:val="center"/>
          </w:tcPr>
          <w:p>
            <w:pPr>
              <w:pStyle w:val="TableContents"/>
              <w:bidi w:val="0"/>
              <w:spacing w:before="0" w:after="283"/>
              <w:jc w:val="center"/>
              <w:rPr>
                <w:b/>
              </w:rPr>
            </w:pPr>
            <w:r>
              <w:rPr>
                <w:b/>
              </w:rPr>
              <w:t>08054</w:t>
            </w:r>
          </w:p>
        </w:tc>
      </w:tr>
      <w:tr>
        <w:trPr/>
        <w:tc>
          <w:tcPr>
            <w:tcW w:w="4295" w:type="dxa"/>
            <w:tcBorders/>
            <w:vAlign w:val="center"/>
          </w:tcPr>
          <w:p>
            <w:pPr>
              <w:pStyle w:val="TableContents"/>
              <w:bidi w:val="0"/>
              <w:spacing w:before="0" w:after="283"/>
              <w:jc w:val="center"/>
              <w:rPr>
                <w:b/>
              </w:rPr>
            </w:pPr>
            <w:r>
              <w:rPr>
                <w:b/>
              </w:rPr>
              <w:t>Mt. Laurel, New Jersey</w:t>
            </w:r>
          </w:p>
        </w:tc>
        <w:tc>
          <w:tcPr>
            <w:tcW w:w="3440" w:type="dxa"/>
            <w:tcBorders/>
            <w:vAlign w:val="center"/>
          </w:tcPr>
          <w:p>
            <w:pPr>
              <w:pStyle w:val="TableContents"/>
              <w:bidi w:val="0"/>
              <w:spacing w:before="0" w:after="283"/>
              <w:jc w:val="center"/>
              <w:rPr/>
            </w:pPr>
            <w:r>
              <w:rPr/>
              <w:t>(Zip code)</w:t>
            </w:r>
          </w:p>
        </w:tc>
      </w:tr>
      <w:tr>
        <w:trPr/>
        <w:tc>
          <w:tcPr>
            <w:tcW w:w="4295" w:type="dxa"/>
            <w:tcBorders/>
            <w:vAlign w:val="center"/>
          </w:tcPr>
          <w:p>
            <w:pPr>
              <w:pStyle w:val="TableContents"/>
              <w:bidi w:val="0"/>
              <w:spacing w:before="0" w:after="283"/>
              <w:jc w:val="center"/>
              <w:rPr/>
            </w:pPr>
            <w:r>
              <w:rPr/>
              <w:t>(Address of principal executive offices)</w:t>
            </w:r>
          </w:p>
        </w:tc>
        <w:tc>
          <w:tcPr>
            <w:tcW w:w="34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(856) 665-9533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7680" w:type="dxa"/>
        <w:jc w:val="left"/>
        <w:tblInd w:w="0" w:type="dxa"/>
        <w:tblLayout w:type="fixed"/>
        <w:tblCellMar>
          <w:top w:w="0" w:type="dxa"/>
          <w:left w:w="0" w:type="dxa"/>
          <w:bottom w:w="28" w:type="dxa"/>
          <w:right w:w="0" w:type="dxa"/>
        </w:tblCellMar>
      </w:tblPr>
      <w:tblGrid>
        <w:gridCol w:w="2375"/>
        <w:gridCol w:w="1415"/>
        <w:gridCol w:w="3890"/>
      </w:tblGrid>
      <w:tr>
        <w:trPr/>
        <w:tc>
          <w:tcPr>
            <w:tcW w:w="23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41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389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4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JJSF</w:t>
            </w:r>
          </w:p>
        </w:tc>
        <w:tc>
          <w:tcPr>
            <w:tcW w:w="389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1910"/>
        <w:gridCol w:w="230"/>
        <w:gridCol w:w="2615"/>
        <w:gridCol w:w="230"/>
      </w:tblGrid>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left"/>
              <w:rPr/>
            </w:pPr>
            <w:r>
              <w:rPr/>
              <w:t>Accelerated Filer</w:t>
            </w:r>
          </w:p>
        </w:tc>
        <w:tc>
          <w:tcPr>
            <w:tcW w:w="230" w:type="dxa"/>
            <w:tcBorders/>
            <w:vAlign w:val="center"/>
          </w:tcPr>
          <w:p>
            <w:pPr>
              <w:pStyle w:val="TableContents"/>
              <w:bidi w:val="0"/>
              <w:spacing w:before="0" w:after="283"/>
              <w:jc w:val="left"/>
              <w:rPr/>
            </w:pPr>
            <w:r>
              <w:rPr/>
              <w:t>☐</w:t>
            </w:r>
          </w:p>
        </w:tc>
      </w:tr>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283"/>
              <w:jc w:val="left"/>
              <w:rPr/>
            </w:pPr>
            <w:r>
              <w:rPr/>
              <w:t>☐</w:t>
            </w:r>
          </w:p>
        </w:tc>
      </w:tr>
      <w:tr>
        <w:trPr/>
        <w:tc>
          <w:tcPr>
            <w:tcW w:w="191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615" w:type="dxa"/>
            <w:tcBorders/>
            <w:vAlign w:val="center"/>
          </w:tcPr>
          <w:p>
            <w:pPr>
              <w:pStyle w:val="TableContents"/>
              <w:bidi w:val="0"/>
              <w:spacing w:before="0" w:after="283"/>
              <w:jc w:val="left"/>
              <w:rPr/>
            </w:pPr>
            <w:r>
              <w:rPr/>
              <w:t>Emerging growth company</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28" w:type="dxa"/>
          <w:right w:w="0" w:type="dxa"/>
        </w:tblCellMar>
      </w:tblPr>
      <w:tblGrid>
        <w:gridCol w:w="2375"/>
        <w:gridCol w:w="2780"/>
      </w:tblGrid>
      <w:tr>
        <w:trPr/>
        <w:tc>
          <w:tcPr>
            <w:tcW w:w="23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w:t>
            </w:r>
          </w:p>
        </w:tc>
        <w:tc>
          <w:tcPr>
            <w:tcW w:w="27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as of August 3, 2026</w:t>
            </w:r>
          </w:p>
        </w:tc>
      </w:tr>
      <w:tr>
        <w:trPr/>
        <w:tc>
          <w:tcPr>
            <w:tcW w:w="2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27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18,681,608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INDEX</w:t>
      </w:r>
      <w:r>
        <w:rPr>
          <w:rFonts w:ascii="Times New Roman" w:hAnsi="Times New Roman"/>
          <w:caps w:val="false"/>
          <w:smallCaps w:val="false"/>
          <w:sz w:val="20"/>
        </w:rPr>
        <w:t>         </w:t>
      </w:r>
    </w:p>
    <w:tbl>
      <w:tblPr>
        <w:tblW w:w="10205" w:type="dxa"/>
        <w:jc w:val="left"/>
        <w:tblInd w:w="0" w:type="dxa"/>
        <w:tblLayout w:type="fixed"/>
        <w:tblCellMar>
          <w:top w:w="0" w:type="dxa"/>
          <w:left w:w="0" w:type="dxa"/>
          <w:bottom w:w="0" w:type="dxa"/>
          <w:right w:w="0" w:type="dxa"/>
        </w:tblCellMar>
      </w:tblPr>
      <w:tblGrid>
        <w:gridCol w:w="901"/>
        <w:gridCol w:w="8503"/>
        <w:gridCol w:w="801"/>
      </w:tblGrid>
      <w:tr>
        <w:trPr/>
        <w:tc>
          <w:tcPr>
            <w:tcW w:w="901" w:type="dxa"/>
            <w:tcBorders/>
            <w:vAlign w:val="center"/>
          </w:tcPr>
          <w:p>
            <w:pPr>
              <w:pStyle w:val="TableContents"/>
              <w:bidi w:val="0"/>
              <w:spacing w:before="0" w:after="283"/>
              <w:jc w:val="left"/>
              <w:rPr/>
            </w:pPr>
            <w:r>
              <w:rPr/>
              <w:t> </w:t>
            </w:r>
          </w:p>
        </w:tc>
        <w:tc>
          <w:tcPr>
            <w:tcW w:w="8503"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Page</w:t>
            </w:r>
          </w:p>
        </w:tc>
      </w:tr>
      <w:tr>
        <w:trPr/>
        <w:tc>
          <w:tcPr>
            <w:tcW w:w="901" w:type="dxa"/>
            <w:tcBorders/>
            <w:vAlign w:val="center"/>
          </w:tcPr>
          <w:p>
            <w:pPr>
              <w:pStyle w:val="TableContents"/>
              <w:bidi w:val="0"/>
              <w:spacing w:before="0" w:after="283"/>
              <w:jc w:val="left"/>
              <w:rPr/>
            </w:pPr>
            <w:r>
              <w:rPr/>
              <w:t> </w:t>
            </w:r>
          </w:p>
        </w:tc>
        <w:tc>
          <w:tcPr>
            <w:tcW w:w="8503"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Number</w:t>
            </w:r>
          </w:p>
        </w:tc>
      </w:tr>
      <w:tr>
        <w:trPr/>
        <w:tc>
          <w:tcPr>
            <w:tcW w:w="901" w:type="dxa"/>
            <w:tcBorders/>
            <w:shd w:fill="CCEEFF" w:val="clear"/>
            <w:vAlign w:val="center"/>
          </w:tcPr>
          <w:p>
            <w:pPr>
              <w:pStyle w:val="TableContents"/>
              <w:bidi w:val="0"/>
              <w:spacing w:before="0" w:after="283"/>
              <w:jc w:val="left"/>
              <w:rPr/>
            </w:pPr>
            <w:r>
              <w:rPr/>
              <w:t>Part I. </w:t>
            </w:r>
          </w:p>
        </w:tc>
        <w:tc>
          <w:tcPr>
            <w:tcW w:w="8503" w:type="dxa"/>
            <w:tcBorders/>
            <w:shd w:fill="CCEEFF" w:val="clear"/>
            <w:vAlign w:val="center"/>
          </w:tcPr>
          <w:p>
            <w:pPr>
              <w:pStyle w:val="TableContents"/>
              <w:bidi w:val="0"/>
              <w:spacing w:before="0" w:after="283"/>
              <w:jc w:val="left"/>
              <w:rPr/>
            </w:pPr>
            <w:r>
              <w:rPr/>
              <w:t>Financial Information</w:t>
            </w:r>
          </w:p>
        </w:tc>
        <w:tc>
          <w:tcPr>
            <w:tcW w:w="801" w:type="dxa"/>
            <w:tcBorders/>
            <w:shd w:fill="CCEEFF" w:val="clear"/>
            <w:vAlign w:val="center"/>
          </w:tcPr>
          <w:p>
            <w:pPr>
              <w:pStyle w:val="TableContents"/>
              <w:bidi w:val="0"/>
              <w:spacing w:before="0" w:after="283"/>
              <w:jc w:val="left"/>
              <w:rPr/>
            </w:pPr>
            <w:r>
              <w:rPr/>
              <w:t> </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l.</w:t>
            </w:r>
          </w:p>
        </w:tc>
        <w:tc>
          <w:tcPr>
            <w:tcW w:w="8503" w:type="dxa"/>
            <w:tcBorders/>
            <w:shd w:fill="CCEEFF" w:val="clear"/>
            <w:vAlign w:val="center"/>
          </w:tcPr>
          <w:p>
            <w:pPr>
              <w:pStyle w:val="TableContents"/>
              <w:bidi w:val="0"/>
              <w:spacing w:before="0" w:after="283"/>
              <w:jc w:val="left"/>
              <w:rPr/>
            </w:pPr>
            <w:r>
              <w:rPr/>
              <w:t>Consolidated Financial Statements</w:t>
            </w:r>
          </w:p>
        </w:tc>
        <w:tc>
          <w:tcPr>
            <w:tcW w:w="801" w:type="dxa"/>
            <w:tcBorders/>
            <w:shd w:fill="CCEEFF" w:val="clear"/>
            <w:vAlign w:val="center"/>
          </w:tcPr>
          <w:p>
            <w:pPr>
              <w:pStyle w:val="TableContents"/>
              <w:bidi w:val="0"/>
              <w:spacing w:before="0" w:after="283"/>
              <w:jc w:val="left"/>
              <w:rPr/>
            </w:pPr>
            <w:r>
              <w:rPr/>
              <w:t> </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404" w:type="dxa"/>
            <w:gridSpan w:val="2"/>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Consolidated Balance Sheets – June 27, 2026 (unaudited) and September 27, 2025</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404" w:type="dxa"/>
            <w:gridSpan w:val="2"/>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Earnings (unaudited) – Three and Nine Months Ended June 27, 2026 and June 28, 2025</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404" w:type="dxa"/>
            <w:gridSpan w:val="2"/>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Comprehensive Income (unaudited) – Three and Nine Months Ended June 27, 2026 and June 28, 2025</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404" w:type="dxa"/>
            <w:gridSpan w:val="2"/>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Changes In Stockholders’ Equity (unaudited) – Three and Nine Months Ended June 27, 2026 and June 28, 2025</w:t>
            </w:r>
          </w:p>
        </w:tc>
        <w:tc>
          <w:tcPr>
            <w:tcW w:w="801" w:type="dxa"/>
            <w:tcBorders/>
            <w:shd w:fill="CCEEFF" w:val="clear"/>
            <w:vAlign w:val="center"/>
          </w:tcPr>
          <w:p>
            <w:pPr>
              <w:pStyle w:val="TableContents"/>
              <w:bidi w:val="0"/>
              <w:spacing w:before="0" w:after="283"/>
              <w:jc w:val="left"/>
              <w:rPr/>
            </w:pPr>
            <w:r>
              <w:rPr/>
              <w:t>6</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404" w:type="dxa"/>
            <w:gridSpan w:val="2"/>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Cash Flows (unaudited) – Nine Months Ended June 27, 2026 and June 28, 2025</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404" w:type="dxa"/>
            <w:gridSpan w:val="2"/>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Notes to the Consolidated Financial Statements (unaudited)</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50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Management’s Discussion and Analysis of Financial Condition and Results of Operations</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25</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50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Quantitative and Qualitative Disclosures About Market Risk</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50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Controls and Procedures</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404"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II. Other Information</w:t>
            </w:r>
          </w:p>
        </w:tc>
        <w:tc>
          <w:tcPr>
            <w:tcW w:w="801" w:type="dxa"/>
            <w:tcBorders/>
            <w:shd w:fill="CCEEFF" w:val="clear"/>
            <w:vAlign w:val="center"/>
          </w:tcPr>
          <w:p>
            <w:pPr>
              <w:pStyle w:val="TableContents"/>
              <w:bidi w:val="0"/>
              <w:spacing w:before="0" w:after="283"/>
              <w:jc w:val="left"/>
              <w:rPr/>
            </w:pPr>
            <w:r>
              <w:rPr/>
              <w:t> </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50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Legal Proceedings</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850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50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Unregistered Sales of Equity Securities and Use of Proceeds</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850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Information</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r>
      <w:tr>
        <w:trPr/>
        <w:tc>
          <w:tcPr>
            <w:tcW w:w="901" w:type="dxa"/>
            <w:tcBorders/>
            <w:shd w:fill="FFFFFF" w:val="clear"/>
            <w:vAlign w:val="center"/>
          </w:tcPr>
          <w:p>
            <w:pPr>
              <w:pStyle w:val="TableContents"/>
              <w:bidi w:val="0"/>
              <w:spacing w:before="0" w:after="283"/>
              <w:jc w:val="left"/>
              <w:rPr/>
            </w:pPr>
            <w:r>
              <w:rPr/>
              <w:t> </w:t>
            </w:r>
          </w:p>
        </w:tc>
        <w:tc>
          <w:tcPr>
            <w:tcW w:w="850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9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850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c>
          <w:tcPr>
            <w:tcW w:w="8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710"/>
        <w:gridCol w:w="2570"/>
      </w:tblGrid>
      <w:tr>
        <w:trPr/>
        <w:tc>
          <w:tcPr>
            <w:tcW w:w="7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25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05"/>
        <w:gridCol w:w="294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29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4370" w:type="dxa"/>
        <w:jc w:val="left"/>
        <w:tblInd w:w="0" w:type="dxa"/>
        <w:tblLayout w:type="fixed"/>
        <w:tblCellMar>
          <w:top w:w="0" w:type="dxa"/>
          <w:left w:w="0" w:type="dxa"/>
          <w:bottom w:w="0" w:type="dxa"/>
          <w:right w:w="0" w:type="dxa"/>
        </w:tblCellMar>
      </w:tblPr>
      <w:tblGrid>
        <w:gridCol w:w="4370"/>
      </w:tblGrid>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tc>
      </w:tr>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tc>
      </w:tr>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838"/>
        <w:gridCol w:w="60"/>
        <w:gridCol w:w="125"/>
        <w:gridCol w:w="849"/>
        <w:gridCol w:w="80"/>
        <w:gridCol w:w="60"/>
        <w:gridCol w:w="143"/>
        <w:gridCol w:w="968"/>
        <w:gridCol w:w="82"/>
      </w:tblGrid>
      <w:tr>
        <w:trPr/>
        <w:tc>
          <w:tcPr>
            <w:tcW w:w="7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2" w:type="dxa"/>
            <w:tcBorders/>
            <w:vAlign w:val="center"/>
          </w:tcPr>
          <w:p>
            <w:pPr>
              <w:pStyle w:val="TableContents"/>
              <w:bidi w:val="0"/>
              <w:spacing w:before="0" w:after="283"/>
              <w:jc w:val="left"/>
              <w:rPr/>
            </w:pPr>
            <w:r>
              <w:rPr/>
              <w:t> </w:t>
            </w:r>
          </w:p>
        </w:tc>
      </w:tr>
      <w:tr>
        <w:trPr/>
        <w:tc>
          <w:tcPr>
            <w:tcW w:w="7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105,893</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184,069</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175,173</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13,197</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478,332</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at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127,022</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machinery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497,908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488,771</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309,371</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16,720</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49,996</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13,899</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plant and equipment, at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1,034,948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1,009,463</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619,310</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390,153</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105,920</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66,730</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151,538</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3,758</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513,016</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1,355,885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finance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82,405</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insurance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16,441</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12,606</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21,624</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26,475</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payable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15,552</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175,666</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140,021</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91,703</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6,061</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authorized 10,000,000 shares; none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 authorized, 50,000,000 shares; issued and outstanding 18,628,000 as of June 27, 2026 and 19,440,000 as of September 27,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139,118</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(12,647</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840,224</w:t>
            </w:r>
          </w:p>
        </w:tc>
        <w:tc>
          <w:tcPr>
            <w:tcW w:w="82"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966,695</w:t>
            </w:r>
          </w:p>
        </w:tc>
        <w:tc>
          <w:tcPr>
            <w:tcW w:w="82"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4370" w:type="dxa"/>
        <w:jc w:val="left"/>
        <w:tblInd w:w="0" w:type="dxa"/>
        <w:tblLayout w:type="fixed"/>
        <w:tblCellMar>
          <w:top w:w="0" w:type="dxa"/>
          <w:left w:w="0" w:type="dxa"/>
          <w:bottom w:w="0" w:type="dxa"/>
          <w:right w:w="0" w:type="dxa"/>
        </w:tblCellMar>
      </w:tblPr>
      <w:tblGrid>
        <w:gridCol w:w="4370"/>
      </w:tblGrid>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tc>
      </w:tr>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EARNINGS</w:t>
            </w:r>
          </w:p>
        </w:tc>
      </w:tr>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65"/>
        <w:gridCol w:w="60"/>
        <w:gridCol w:w="125"/>
        <w:gridCol w:w="695"/>
        <w:gridCol w:w="80"/>
        <w:gridCol w:w="60"/>
        <w:gridCol w:w="125"/>
        <w:gridCol w:w="695"/>
        <w:gridCol w:w="80"/>
        <w:gridCol w:w="60"/>
        <w:gridCol w:w="125"/>
        <w:gridCol w:w="845"/>
        <w:gridCol w:w="80"/>
        <w:gridCol w:w="60"/>
        <w:gridCol w:w="125"/>
        <w:gridCol w:w="845"/>
        <w:gridCol w:w="80"/>
      </w:tblGrid>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1,172,990</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833,341</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339,649</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selling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91,023</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126,128</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58,685</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impairment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closure expense (recoveries)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266,790</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72,859</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2,348</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74,469</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20,255</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diluted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diluted shares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19,554</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basic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basic shares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J&amp;J SNACK FOODS CORP. AND SUBSIDIARIES </w:t>
            </w:r>
          </w:p>
        </w:tc>
      </w:tr>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INCOME</w:t>
            </w:r>
          </w:p>
        </w:tc>
      </w:tr>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r>
    </w:tbl>
    <w:p>
      <w:pPr>
        <w:pStyle w:val="TextBody"/>
        <w:bidi w:val="0"/>
        <w:spacing w:before="0" w:after="0"/>
        <w:ind w:left="0" w:right="0" w:hanging="0"/>
        <w:jc w:val="left"/>
        <w:rPr/>
      </w:pPr>
      <w:r>
        <w:rPr/>
        <w:t> </w:t>
      </w:r>
    </w:p>
    <w:tbl>
      <w:tblPr>
        <w:tblW w:w="7267" w:type="dxa"/>
        <w:jc w:val="left"/>
        <w:tblInd w:w="0" w:type="dxa"/>
        <w:tblLayout w:type="fixed"/>
        <w:tblCellMar>
          <w:top w:w="0" w:type="dxa"/>
          <w:left w:w="0" w:type="dxa"/>
          <w:bottom w:w="0" w:type="dxa"/>
          <w:right w:w="0" w:type="dxa"/>
        </w:tblCellMar>
      </w:tblPr>
      <w:tblGrid>
        <w:gridCol w:w="3695"/>
        <w:gridCol w:w="60"/>
        <w:gridCol w:w="139"/>
        <w:gridCol w:w="658"/>
        <w:gridCol w:w="66"/>
        <w:gridCol w:w="66"/>
        <w:gridCol w:w="139"/>
        <w:gridCol w:w="658"/>
        <w:gridCol w:w="60"/>
        <w:gridCol w:w="60"/>
        <w:gridCol w:w="129"/>
        <w:gridCol w:w="612"/>
        <w:gridCol w:w="62"/>
        <w:gridCol w:w="62"/>
        <w:gridCol w:w="129"/>
        <w:gridCol w:w="612"/>
        <w:gridCol w:w="6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37,892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6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6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35,895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40,495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55,843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7055" w:type="dxa"/>
        <w:jc w:val="left"/>
        <w:tblInd w:w="0" w:type="dxa"/>
        <w:tblLayout w:type="fixed"/>
        <w:tblCellMar>
          <w:top w:w="0" w:type="dxa"/>
          <w:left w:w="0" w:type="dxa"/>
          <w:bottom w:w="0" w:type="dxa"/>
          <w:right w:w="0" w:type="dxa"/>
        </w:tblCellMar>
      </w:tblPr>
      <w:tblGrid>
        <w:gridCol w:w="7055"/>
      </w:tblGrid>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tc>
      </w:tr>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CHANGES IN STOCKHOLDERS' EQUITY</w:t>
            </w:r>
          </w:p>
        </w:tc>
      </w:tr>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(in thousands)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85"/>
        <w:gridCol w:w="60"/>
        <w:gridCol w:w="60"/>
        <w:gridCol w:w="590"/>
        <w:gridCol w:w="80"/>
        <w:gridCol w:w="60"/>
        <w:gridCol w:w="125"/>
        <w:gridCol w:w="695"/>
        <w:gridCol w:w="80"/>
        <w:gridCol w:w="60"/>
        <w:gridCol w:w="208"/>
        <w:gridCol w:w="1087"/>
        <w:gridCol w:w="80"/>
        <w:gridCol w:w="60"/>
        <w:gridCol w:w="125"/>
        <w:gridCol w:w="695"/>
        <w:gridCol w:w="80"/>
        <w:gridCol w:w="60"/>
        <w:gridCol w:w="125"/>
        <w:gridCol w:w="695"/>
        <w:gridCol w:w="95"/>
      </w:tblGrid>
      <w:tr>
        <w:trPr/>
        <w:tc>
          <w:tcPr>
            <w:tcW w:w="5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95" w:type="dxa"/>
            <w:tcBorders/>
            <w:vAlign w:val="center"/>
          </w:tcPr>
          <w:p>
            <w:pPr>
              <w:pStyle w:val="TableContents"/>
              <w:bidi w:val="0"/>
              <w:spacing w:before="0" w:after="283"/>
              <w:jc w:val="left"/>
              <w:rPr/>
            </w:pPr>
            <w:r>
              <w:rPr/>
              <w:t> </w:t>
            </w:r>
          </w:p>
        </w:tc>
      </w:tr>
      <w:tr>
        <w:trPr/>
        <w:tc>
          <w:tcPr>
            <w:tcW w:w="5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27,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966,695</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($0.80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27,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825,899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912,858</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for employee stock purchase plan,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($0.80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28,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812,573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880,076</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($0.80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35,332</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27,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832,979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892,077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85"/>
        <w:gridCol w:w="60"/>
        <w:gridCol w:w="60"/>
        <w:gridCol w:w="590"/>
        <w:gridCol w:w="80"/>
        <w:gridCol w:w="60"/>
        <w:gridCol w:w="125"/>
        <w:gridCol w:w="695"/>
        <w:gridCol w:w="80"/>
        <w:gridCol w:w="60"/>
        <w:gridCol w:w="208"/>
        <w:gridCol w:w="1087"/>
        <w:gridCol w:w="80"/>
        <w:gridCol w:w="60"/>
        <w:gridCol w:w="125"/>
        <w:gridCol w:w="695"/>
        <w:gridCol w:w="80"/>
        <w:gridCol w:w="60"/>
        <w:gridCol w:w="125"/>
        <w:gridCol w:w="695"/>
        <w:gridCol w:w="95"/>
      </w:tblGrid>
      <w:tr>
        <w:trPr/>
        <w:tc>
          <w:tcPr>
            <w:tcW w:w="5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95" w:type="dxa"/>
            <w:tcBorders/>
            <w:vAlign w:val="center"/>
          </w:tcPr>
          <w:p>
            <w:pPr>
              <w:pStyle w:val="TableContents"/>
              <w:bidi w:val="0"/>
              <w:spacing w:before="0" w:after="283"/>
              <w:jc w:val="left"/>
              <w:rPr/>
            </w:pPr>
            <w:r>
              <w:rPr/>
              <w:t> </w:t>
            </w:r>
          </w:p>
        </w:tc>
      </w:tr>
      <w:tr>
        <w:trPr/>
        <w:tc>
          <w:tcPr>
            <w:tcW w:w="5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28,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956,970</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($0.78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28,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946,840</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for employee stock purchase plan,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($0.78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29,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815,323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935,034</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($0.78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w:t>
            </w:r>
          </w:p>
        </w:tc>
        <w:tc>
          <w:tcPr>
            <w:tcW w:w="95" w:type="dxa"/>
            <w:tcBorders/>
            <w:shd w:fill="CCEEFF" w:val="clear"/>
            <w:vAlign w:val="center"/>
          </w:tcPr>
          <w:p>
            <w:pPr>
              <w:pStyle w:val="TableContents"/>
              <w:bidi w:val="0"/>
              <w:spacing w:before="0" w:after="283"/>
              <w:jc w:val="left"/>
              <w:rPr/>
            </w:pPr>
            <w:r>
              <w:rPr/>
              <w:t> </w:t>
            </w:r>
          </w:p>
        </w:tc>
      </w:tr>
      <w:tr>
        <w:trPr/>
        <w:tc>
          <w:tcPr>
            <w:tcW w:w="5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95" w:type="dxa"/>
            <w:tcBorders/>
            <w:shd w:fill="FFFFFF" w:val="clear"/>
            <w:vAlign w:val="center"/>
          </w:tcPr>
          <w:p>
            <w:pPr>
              <w:pStyle w:val="TableContents"/>
              <w:bidi w:val="0"/>
              <w:spacing w:before="0" w:after="283"/>
              <w:jc w:val="left"/>
              <w:rPr/>
            </w:pPr>
            <w:r>
              <w:rPr/>
              <w:t> </w:t>
            </w:r>
          </w:p>
        </w:tc>
      </w:tr>
      <w:tr>
        <w:trPr/>
        <w:tc>
          <w:tcPr>
            <w:tcW w:w="5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969,925</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tc>
      </w:tr>
      <w:tr>
        <w:trPr/>
        <w:tc>
          <w:tcPr>
            <w:tcW w:w="4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tc>
      </w:tr>
      <w:tr>
        <w:trPr/>
        <w:tc>
          <w:tcPr>
            <w:tcW w:w="4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(in thousands)</w:t>
            </w:r>
          </w:p>
        </w:tc>
      </w:tr>
    </w:tbl>
    <w:p>
      <w:pPr>
        <w:pStyle w:val="TextBody"/>
        <w:bidi w:val="0"/>
        <w:spacing w:before="0" w:after="0"/>
        <w:ind w:left="0" w:right="0" w:hanging="0"/>
        <w:jc w:val="left"/>
        <w:rPr/>
      </w:pPr>
      <w:r>
        <w:rPr/>
        <w:t> </w:t>
      </w:r>
    </w:p>
    <w:tbl>
      <w:tblPr>
        <w:tblW w:w="8570" w:type="dxa"/>
        <w:jc w:val="left"/>
        <w:tblInd w:w="0" w:type="dxa"/>
        <w:tblLayout w:type="fixed"/>
        <w:tblCellMar>
          <w:top w:w="0" w:type="dxa"/>
          <w:left w:w="0" w:type="dxa"/>
          <w:bottom w:w="0" w:type="dxa"/>
          <w:right w:w="0" w:type="dxa"/>
        </w:tblCellMar>
      </w:tblPr>
      <w:tblGrid>
        <w:gridCol w:w="6695"/>
        <w:gridCol w:w="60"/>
        <w:gridCol w:w="125"/>
        <w:gridCol w:w="695"/>
        <w:gridCol w:w="80"/>
        <w:gridCol w:w="60"/>
        <w:gridCol w:w="125"/>
        <w:gridCol w:w="650"/>
        <w:gridCol w:w="80"/>
      </w:tblGrid>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ind w:left="0" w:right="0" w:hanging="0"/>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66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66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earnings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66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fixed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48,296</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66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 and deferred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5,871</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 impairment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66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Losses (Gains) from disposals of property &amp;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80"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plant closure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66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impairment charge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66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66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66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insurance proceeds received in excess of operating losses recognized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80"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66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net of effects from purchase of companies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900" w:right="0" w:hanging="0"/>
              <w:jc w:val="left"/>
              <w:rPr/>
            </w:pPr>
            <w:r>
              <w:rPr/>
              <w:t> </w:t>
            </w:r>
          </w:p>
        </w:tc>
      </w:tr>
      <w:tr>
        <w:trPr/>
        <w:tc>
          <w:tcPr>
            <w:tcW w:w="6695" w:type="dxa"/>
            <w:tcBorders/>
            <w:shd w:fill="FFFFFF" w:val="clear"/>
            <w:vAlign w:val="center"/>
          </w:tcPr>
          <w:p>
            <w:pPr>
              <w:pStyle w:val="TableContents"/>
              <w:bidi w:val="0"/>
              <w:spacing w:before="0" w:after="0"/>
              <w:ind w:left="18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(16,491</w:t>
            </w:r>
          </w:p>
        </w:tc>
        <w:tc>
          <w:tcPr>
            <w:tcW w:w="80" w:type="dxa"/>
            <w:tcBorders/>
            <w:shd w:fill="FFFFFF" w:val="clear"/>
            <w:vAlign w:val="center"/>
          </w:tcPr>
          <w:p>
            <w:pPr>
              <w:pStyle w:val="TableContents"/>
              <w:bidi w:val="0"/>
              <w:spacing w:before="0" w:after="283"/>
              <w:ind w:left="900" w:right="0" w:hanging="0"/>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18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(Increase) in 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(21,634</w:t>
            </w:r>
          </w:p>
        </w:tc>
        <w:tc>
          <w:tcPr>
            <w:tcW w:w="80" w:type="dxa"/>
            <w:tcBorders/>
            <w:shd w:fill="CCEEFF" w:val="clear"/>
            <w:vAlign w:val="center"/>
          </w:tcPr>
          <w:p>
            <w:pPr>
              <w:pStyle w:val="TableContents"/>
              <w:bidi w:val="0"/>
              <w:spacing w:before="0" w:after="283"/>
              <w:ind w:left="900" w:right="0" w:hanging="0"/>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8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changes in other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33,837</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66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98,697</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66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(61,264</w:t>
            </w:r>
          </w:p>
        </w:tc>
        <w:tc>
          <w:tcPr>
            <w:tcW w:w="80"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66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insurance for fixed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11,421</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66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66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repurchase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3,104</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66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vested employee service share units and performance share units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66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66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credit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80"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debt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66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(45,575</w:t>
            </w:r>
          </w:p>
        </w:tc>
        <w:tc>
          <w:tcPr>
            <w:tcW w:w="80"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77,377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w:t>
            </w:r>
          </w:p>
        </w:tc>
        <w:tc>
          <w:tcPr>
            <w:tcW w:w="17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unaudited Consolidated Financial Statements have been prepared in accordance with accounting principles generally accepted in the United States for interim financial information and with the instructions to Form 10-Q and Rule 10-01 of Regulation S-X. They do not include all information and notes required by generally accepted accounting principles for complete financial statements. However, except as disclosed herein, there has been no material change in the information disclosed in the Notes to Consolidated Financial Statements included in the Company’s Annual Report on Form 10-K for the year ended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opinion of management, the accompanying unaudited consolidated financial statements contain all adjustments (consisting of only normal recurring adjustments) necessary to present fairly the Company’s financial position and the results of operations and cash flows.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results of operations for the three and nine months ended June 27, 2026 and June 28, 2025 are not necessarily indicative of results for the full year. Sales of our frozen beverages and frozen novelties are generally higher in the fiscal third and fourth quarters due to warmer weather.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While we believe that the disclosures presented are adequate to make the information not misleading, it is suggested that these consolidated financial statements be read in conjunction with the audited consolidated financial statements and the notes included in the Company’s Annual Report on Form 10-K for the fiscal year ended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560"/>
        <w:gridCol w:w="180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w:t>
            </w:r>
          </w:p>
        </w:tc>
        <w:tc>
          <w:tcPr>
            <w:tcW w:w="18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recognize revenue in accordance with ASC 606, “Revenue from Contracts with Customers.” Revenue-related taxes collected on behalf of customers and remitted to taxing authorities, principally sales and use taxes, are not included in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When Performance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performance obligations of our customer contracts for product and machine sales is determined by each individual purchase order and the respective products ordered, with revenue being recognized at a point-in-time when the obligation under the terms of the agreement is satisfied and product control is transferred to our customer. Specifically, control transfers to our customers when the product is delivered to, installed or picked up by our customers based upon applicable shipping terms, as our customers can direct the use and obtain substantially all of the remaining benefits from the product at this point in time. The performance obligations in our customer contracts for product are generally satisfied within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contracts for time and material repair and maintenance equipment service is the performance of the repair and maintenance with revenue being recognized at a point-in-time when the repair and maintenance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repair and maintenance equipment service contracts is the performance of the repair and maintenance with revenue being recognized over the time the service is expected to be performed. Our customers are billed for service contracts in advance of performance and therefore we have a contract liability on our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Significant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general, within our customer contracts, the purchase order identifies the product, quantity, price, pick-up allowances, payment terms and final delivery terms. Although some payment terms may be more extended, presently the majority of our payment terms are 30 days. As a result, we have used the available practical expedient and, consequently, do not adjust our revenues for the effects of a significant financing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Shipping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All amounts billed to customers related to shipping and handling are classified as revenues; therefore, we recognize revenue for shipping and handling fees at the time the products are shipped or when services are performed. The cost of shipping products to the customer is recognized at the time the products are shipped to the customer and our policy is to classify them as Distribution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addition to fixed contract consideration, our contracts include some form of variable consideration, including sales discounts, trade promotions and certain other sales and consumer incentives, including rebates and coupon redemptions. In general, variable consideration is treated as a reduction in revenue when the related revenue is recognized. Depending on the specific type of variable consideration, we use the most likely amount method to determine the variable consideration. We believe there will be no significant changes to our estimates of variable consideration when any related uncertainties are resolved with our customers. We review and update our estimates and related accruals of variable consideration each period based on historical experience. Our recorded liability for allowances, end-user pricing adjustments and trade spending was approximately $28.2 million at June 27, 2026 and $22.3 million at September 27, 2025.</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Warranties &amp;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provide all customers with a standard or assurance type warranty. Either stated or implied, we provide assurance that the related products will comply with all agreed-upon specifications and other warranties provided under the law. No services beyond an assurance warranty are provided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do not grant a general right of return. However, customers may return defective or non-conforming products. Customer remedies may include either a cash refund or an exchange of the product. We do not estimate a right-of-return and related refund liability as returns of our products are rare.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customers are billed for service contracts in advance of performance and therefore we have a contract liability on our balance sheet as follows:</w:t>
      </w:r>
    </w:p>
    <w:p>
      <w:pPr>
        <w:pStyle w:val="TextBody"/>
        <w:bidi w:val="0"/>
        <w:spacing w:before="0" w:after="0"/>
        <w:ind w:left="0" w:right="0" w:hanging="0"/>
        <w:jc w:val="left"/>
        <w:rPr>
          <w:caps w:val="false"/>
          <w:smallCaps w:val="false"/>
        </w:rPr>
      </w:pPr>
      <w:r>
        <w:rPr>
          <w:caps w:val="false"/>
          <w:smallCaps w:val="false"/>
        </w:rPr>
        <w:t> </w:t>
      </w:r>
    </w:p>
    <w:tbl>
      <w:tblPr>
        <w:tblW w:w="6215" w:type="dxa"/>
        <w:jc w:val="left"/>
        <w:tblInd w:w="0" w:type="dxa"/>
        <w:tblLayout w:type="fixed"/>
        <w:tblCellMar>
          <w:top w:w="0" w:type="dxa"/>
          <w:left w:w="0" w:type="dxa"/>
          <w:bottom w:w="0" w:type="dxa"/>
          <w:right w:w="0" w:type="dxa"/>
        </w:tblCellMar>
      </w:tblPr>
      <w:tblGrid>
        <w:gridCol w:w="2600"/>
        <w:gridCol w:w="60"/>
        <w:gridCol w:w="146"/>
        <w:gridCol w:w="637"/>
        <w:gridCol w:w="93"/>
        <w:gridCol w:w="70"/>
        <w:gridCol w:w="146"/>
        <w:gridCol w:w="637"/>
        <w:gridCol w:w="80"/>
        <w:gridCol w:w="60"/>
        <w:gridCol w:w="135"/>
        <w:gridCol w:w="592"/>
        <w:gridCol w:w="87"/>
        <w:gridCol w:w="65"/>
        <w:gridCol w:w="135"/>
        <w:gridCol w:w="592"/>
        <w:gridCol w:w="8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7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3,607</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3,889</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4,798</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contract liability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4,973</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4,775</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recognized as revenue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3,588</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3,588</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disaggregates revenue by geography and by type of good or service, which management believes best depicts how the nature, amount, timing, and uncertainty of revenue and cash flows are affected by economic factors. Product revenues within the food service and retail segments are derived from the sale of snack food products that share similar characteristics, including consistent pricing models, distribution channels, customer types, and point-in-time revenue recognition upon transfer of control. As a result, management has aggregated product lines within these segments. Product revenues within the frozen beverage segment are derived from the sale of frozen beverage syrup, cups, straws and lids. See Note 10 for disaggregation of our net sales by geography and type of good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Allowance for Estimated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continuously monitors collections and payments from its customers and maintains a provision for estimated credit losses. The allowance for estimated credit losses considers a number of factors including the age of receivable balances, the history of losses, expectations of future credit losses, and the customers’ ability to pay off obligations. The allowance for estimated credit losses was $3.1 million and $3.3 million at June 27, 2026 and September 27,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560"/>
        <w:gridCol w:w="341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3</w:t>
            </w:r>
          </w:p>
        </w:tc>
        <w:tc>
          <w:tcPr>
            <w:tcW w:w="34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 and Amortization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Depreciation of equipment and buildings is provided for by the straight-line method over the assets’ estimated useful lives. Amortization of improvements is provided for by the straight-line method over the term of the lease or the assets’ estimated useful lives, whichever is shorter. Licenses and rights, customer relationships, franchise agreements, and technology are amortized by the straight-line method over periods ranging from 2 to 20 years. Depreciation expense was $17.4 million and $16.7 million for the three months ended June 27, 2026 and June 28, 2025, respectively and $52.2 million and $48.3 million for the nine months ended June 27, 2026 and June 28,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560"/>
        <w:gridCol w:w="167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w:t>
            </w:r>
          </w:p>
        </w:tc>
        <w:tc>
          <w:tcPr>
            <w:tcW w:w="16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Basic earnings per common share (“EPS”) excludes dilution and is computed by dividing income available to common shareholders by the weighted average common shares outstanding during the period. Diluted EPS takes into consideration the potential dilution that could occur if securities (stock options, service share units (“RSUs”), and performance share units (“PSUs”)) or other contracts to issue common stock were exercised and converted into common stock. Our calculation of EPS is as follows:</w:t>
      </w:r>
    </w:p>
    <w:p>
      <w:pPr>
        <w:pStyle w:val="TextBody"/>
        <w:bidi w:val="0"/>
        <w:spacing w:before="0" w:after="0"/>
        <w:ind w:left="0" w:right="0" w:hanging="0"/>
        <w:jc w:val="left"/>
        <w:rPr>
          <w:caps w:val="false"/>
          <w:smallCaps w:val="false"/>
        </w:rPr>
      </w:pPr>
      <w:r>
        <w:rPr>
          <w:caps w:val="false"/>
          <w:smallCaps w:val="false"/>
        </w:rPr>
        <w:t> </w:t>
      </w:r>
    </w:p>
    <w:tbl>
      <w:tblPr>
        <w:tblW w:w="9691" w:type="dxa"/>
        <w:jc w:val="left"/>
        <w:tblInd w:w="0" w:type="dxa"/>
        <w:tblLayout w:type="fixed"/>
        <w:tblCellMar>
          <w:top w:w="0" w:type="dxa"/>
          <w:left w:w="0" w:type="dxa"/>
          <w:bottom w:w="0" w:type="dxa"/>
          <w:right w:w="0" w:type="dxa"/>
        </w:tblCellMar>
      </w:tblPr>
      <w:tblGrid>
        <w:gridCol w:w="6020"/>
        <w:gridCol w:w="60"/>
        <w:gridCol w:w="189"/>
        <w:gridCol w:w="895"/>
        <w:gridCol w:w="81"/>
        <w:gridCol w:w="81"/>
        <w:gridCol w:w="116"/>
        <w:gridCol w:w="1148"/>
        <w:gridCol w:w="81"/>
        <w:gridCol w:w="81"/>
        <w:gridCol w:w="189"/>
        <w:gridCol w:w="670"/>
        <w:gridCol w:w="8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27, 2026</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1"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8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35,332</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18,715</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RSUs, PSUs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35,332</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18,746</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158,056 anti-dilutive shares have been excluded in the computation of EPS for the three months ended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679" w:type="dxa"/>
        <w:jc w:val="left"/>
        <w:tblInd w:w="0" w:type="dxa"/>
        <w:tblLayout w:type="fixed"/>
        <w:tblCellMar>
          <w:top w:w="0" w:type="dxa"/>
          <w:left w:w="0" w:type="dxa"/>
          <w:bottom w:w="0" w:type="dxa"/>
          <w:right w:w="0" w:type="dxa"/>
        </w:tblCellMar>
      </w:tblPr>
      <w:tblGrid>
        <w:gridCol w:w="6020"/>
        <w:gridCol w:w="60"/>
        <w:gridCol w:w="189"/>
        <w:gridCol w:w="895"/>
        <w:gridCol w:w="78"/>
        <w:gridCol w:w="78"/>
        <w:gridCol w:w="116"/>
        <w:gridCol w:w="1148"/>
        <w:gridCol w:w="78"/>
        <w:gridCol w:w="78"/>
        <w:gridCol w:w="189"/>
        <w:gridCol w:w="670"/>
        <w:gridCol w:w="8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1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June 27, 2026</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19"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8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37,892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RSUs, PSUs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37,892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224,924 anti-dilutive shares have been excluded in the computation of EPS for the nine months ended June 27,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691" w:type="dxa"/>
        <w:jc w:val="left"/>
        <w:tblInd w:w="0" w:type="dxa"/>
        <w:tblLayout w:type="fixed"/>
        <w:tblCellMar>
          <w:top w:w="0" w:type="dxa"/>
          <w:left w:w="0" w:type="dxa"/>
          <w:bottom w:w="0" w:type="dxa"/>
          <w:right w:w="0" w:type="dxa"/>
        </w:tblCellMar>
      </w:tblPr>
      <w:tblGrid>
        <w:gridCol w:w="6020"/>
        <w:gridCol w:w="60"/>
        <w:gridCol w:w="189"/>
        <w:gridCol w:w="895"/>
        <w:gridCol w:w="81"/>
        <w:gridCol w:w="81"/>
        <w:gridCol w:w="116"/>
        <w:gridCol w:w="1148"/>
        <w:gridCol w:w="81"/>
        <w:gridCol w:w="81"/>
        <w:gridCol w:w="189"/>
        <w:gridCol w:w="670"/>
        <w:gridCol w:w="8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28, 2025</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1"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8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19,455</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RSUs, PSUs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19,537</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230,144 anti-dilutive shares have been excluded in the computation of EPS for the three months ended June 28, 2025.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679" w:type="dxa"/>
        <w:jc w:val="left"/>
        <w:tblInd w:w="0" w:type="dxa"/>
        <w:tblLayout w:type="fixed"/>
        <w:tblCellMar>
          <w:top w:w="0" w:type="dxa"/>
          <w:left w:w="0" w:type="dxa"/>
          <w:bottom w:w="0" w:type="dxa"/>
          <w:right w:w="0" w:type="dxa"/>
        </w:tblCellMar>
      </w:tblPr>
      <w:tblGrid>
        <w:gridCol w:w="6020"/>
        <w:gridCol w:w="60"/>
        <w:gridCol w:w="189"/>
        <w:gridCol w:w="895"/>
        <w:gridCol w:w="78"/>
        <w:gridCol w:w="78"/>
        <w:gridCol w:w="116"/>
        <w:gridCol w:w="1148"/>
        <w:gridCol w:w="78"/>
        <w:gridCol w:w="78"/>
        <w:gridCol w:w="189"/>
        <w:gridCol w:w="670"/>
        <w:gridCol w:w="8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1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June 28, 2025</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19"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8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RSUs, PSUs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126,324 anti-dilutive shares have been excluded in the computation of EPS for the nine months ended June 28,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560"/>
        <w:gridCol w:w="234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5</w:t>
            </w:r>
          </w:p>
        </w:tc>
        <w:tc>
          <w:tcPr>
            <w:tcW w:w="23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June 27, 2026, the Company has two stock-based employee compensation plans. Pre-tax share-based compensation expense was recognized as follows:</w:t>
      </w:r>
    </w:p>
    <w:p>
      <w:pPr>
        <w:pStyle w:val="TextBody"/>
        <w:bidi w:val="0"/>
        <w:spacing w:before="0" w:after="0"/>
        <w:ind w:left="0" w:right="0" w:hanging="0"/>
        <w:jc w:val="left"/>
        <w:rPr>
          <w:caps w:val="false"/>
          <w:smallCaps w:val="false"/>
        </w:rPr>
      </w:pPr>
      <w:r>
        <w:rPr>
          <w:caps w:val="false"/>
          <w:smallCaps w:val="false"/>
        </w:rPr>
        <w:t> </w:t>
      </w:r>
    </w:p>
    <w:tbl>
      <w:tblPr>
        <w:tblW w:w="7196" w:type="dxa"/>
        <w:jc w:val="left"/>
        <w:tblInd w:w="0" w:type="dxa"/>
        <w:tblLayout w:type="fixed"/>
        <w:tblCellMar>
          <w:top w:w="0" w:type="dxa"/>
          <w:left w:w="0" w:type="dxa"/>
          <w:bottom w:w="0" w:type="dxa"/>
          <w:right w:w="0" w:type="dxa"/>
        </w:tblCellMar>
      </w:tblPr>
      <w:tblGrid>
        <w:gridCol w:w="3620"/>
        <w:gridCol w:w="60"/>
        <w:gridCol w:w="161"/>
        <w:gridCol w:w="626"/>
        <w:gridCol w:w="77"/>
        <w:gridCol w:w="77"/>
        <w:gridCol w:w="161"/>
        <w:gridCol w:w="626"/>
        <w:gridCol w:w="60"/>
        <w:gridCol w:w="60"/>
        <w:gridCol w:w="150"/>
        <w:gridCol w:w="582"/>
        <w:gridCol w:w="72"/>
        <w:gridCol w:w="72"/>
        <w:gridCol w:w="150"/>
        <w:gridCol w:w="582"/>
        <w:gridCol w:w="6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8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73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to outside directors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share units issued to employees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2,853</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2,679</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share units issued to employees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4,684</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benefits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each option grant is estimated on the date of grant using the Black-Scholes options-pricing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 is based on the historical volatility of the price of our common shares over the past 51 months for 5-year options and 10 years for 10-year options. We use historical information to estimate expected life and forfeitures within the valuation model. The expected term of awards represents the period of time that options granted are expected to be outstanding. The risk-free rate for periods within the expected life of the option is based on the U.S. Treasury yield curve in effect at the time of grant. Compensation cost is recognized using a straight-line method over the vesting or service period and is net of estimated forfeitures.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did not grant any stock options during the nine months ended June 27, 2026, or during the nine months ended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and nine months ended June 27, 2026, the Company issued 34,609 and 62,761 RSUs, respectively. During the three and nine months ended June 28, 2025, the Company issued 21,311 and 34,868 RSUs, respectively. Each RSU entitles the awardee to one share of common stock upon vesting. The fair value of the RSUs was determined based upon the closing price of the Company’s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and nine months ended June 27, 2026, the Company issued 8,919 and 37,063 PSUs, respectively. During the three and nine months ended June 28, 2025, the Company issued 3,951 and 17,500 PSUs, respectively. Each PSU may result in the issuance of up to two shares of common stock upon vesting, dependent upon the level of achievement of the applicable performance goal. The fair value of the PSUs was determined based upon the closing price of the Company’s common stock on the date of grant. Additionally, the Company applies a quarterly probability assessment in computing this non-cash compensation expense, and any change in estimate is reflected as a cumulative adjustment to expense in the quarter of the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560"/>
        <w:gridCol w:w="120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6</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account for our income taxes under the liability method. Under the liability method, deferred tax assets and liabilities are determined based on the difference between the financial statement and tax bases of assets and liabilities as measured by the enacted tax rates that will be in effect when these differences reverse. Deferred tax expense is the result of changes in deferred tax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Additionally, we recognize a liability for income taxes and associated penalties and interest for tax positions taken or expected to be taken in a tax return which are more likely than not to be overturned by taxing authorities (“uncertain tax positions”). We have not recognized a tax benefit in our financial statements for these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total amount of gross unrecognized tax benefits is $0.3 million as of both June 27, 2026 and September 27, 2025, all of which would impact our effective tax rate over time, if recognized. We recognize interest and penalties related to uncertain tax positions as a part of the provision for income taxes. As of June 27, 2026 and September 27, 2025, the Company has $0.3 million of accrued interest and penalties, respectively.</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addition to our federal tax return and tax returns for Mexico, Canada and Netherlands, we file tax returns in all states that have a corporate income tax. Virtually all the returns noted above are open for examination for three to four years.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effective tax rate for the three months and nine months ended June 27, 2026 was 23.2%, and 23.5%, respectively, both of which are higher than the company’s 21.0% statutory tax rate primarily due to state income taxes, and the tax effect in foreign jurisdictions. Our effective tax rate was 27.2% in both the three and nine months ended June 28, 2025, which was higher than the company’s 21.0% statutory tax rate primarily due to state income taxes, and the tax effect in foreign jurisdictions.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605"/>
        <w:gridCol w:w="390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Note 7 </w:t>
            </w:r>
          </w:p>
        </w:tc>
        <w:tc>
          <w:tcPr>
            <w:tcW w:w="3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Accounting Pronouncements and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December 2023, the FASB issued ASU No. 2023-09 “Income Taxes (Topic 740): Improvements to Income Tax Disclosures.” This guidance enhances the transparency around income tax information through improvements to income tax disclosures, primarily related to the effective rate reconciliation and income taxes paid, to improve the overall effectiveness of income tax disclosures. The amendments in the ASU are effective for fiscal years beginning after December 15, 2024,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November 2024, the FASB issued ASU No. 2024-03, “Income Statement – Reporting Comprehensive Income – Expense Disaggregation Disclosures.” This guidance improves disclosure requirements and provides more detailed information around an entity’s expenses, specifically amounts related to purchases of inventory, employee compensation, depreciation, intangible asset amortization, and selling expenses, along with qualitative descriptions of certain other types of expenses. This guidance is effective for fiscal years beginning after December 15, 2026, and interim periods within fiscal years beginning after December 15, 2027,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July 2025, the FASB issued ASU No. 2025-05 “Financial Instruments – Credit Losses (Topic 326).” This guidance introduces a practical expedient for all entities with qualifying assets to assume that current conditions remain unchanged for the remaining life of the asset with estimated credit losses. The amendments in the ASU are effective for fiscal years beginning after December 15, 2025,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September 2025, the FASB issued ASU No. 2025-06 “Intangibles – Goodwill and Other – Internal-Use Software (Subtopic 350-40).” This authoritative guidance modernizes the accounting for internal use software costs including the elimination of the stage-based capitalization model and updated disclosure requirements. The guidance is effective for annual reporting periods beginning after December 15, 2027, and interim reporting periods within those annual reporting periods. Amendments can be applied using a prospective transition approach, a modified transition approach, or a retrospective transition approach.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560"/>
        <w:gridCol w:w="144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8</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Long-Term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December 2021, the Company entered into an amended and restated loan agreement (as amended, the “Credit Agreement”) with our existing banks which provided for up to a $50 million revolving credit facility repayable in December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June 21, 2022, the Company entered into an amendment to the Credit Agreement, (“Amendment No. 1”) which provided for an incremental increase of $175 million in available borrowings under the revolving credit facility. Amendment No.1 also included an option to increase the size of the revolving credit facility by up to an amount not to exceed in the aggregate the greater of $225 million or $50 million plus the Consolidated EBITDA (as defined in the Credit Agreement) of the Borrowers (as defined in the Credit Agreement), subject to the satisfaction of certain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June 5, 2026, the Company entered into Amendment No. 2 to the Credit Agreement (“Amendment No. 2”). Amendment No. 2 maintained the existing $225 million revolving credit facility capacity, extended the maturity date of the revolving credit facility established under the Credit Agreement to June 2031, and revised the pricing grid used to determine the Applicable Margin (as defined in the Credit Agreement). Amendment No. 2 also included an option to increase the size of the revolving credit facility by up to an amount not to exceed the greater of $200 million or the Consolidated EBITDA of the Borrowers, subject to the satisfaction of certain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Interest accrues, at the Company’s election at (i) the SOFR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SOFR Rate, plus an applicable margin). The Alternate Base Rate is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makes certain investments or loans, incur future indebtedness, alter its capital structure or line of business, prepay subordinated indebtedness, engage in certain transactions with affiliates, or amend its organizational documents. As of June 27, 2026, the Company is in compliance with all financial covenants and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June 27, 2026, $28.0 million was outstanding under the Credit Agreement with a weighted average interest rate of 5.64%. As of June 27, 2026, the amount available under the Credit Agreement was $182.2 million, after giving effect to the outstanding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September 27, 2025, there was no outstanding balance under the Credit Agreement. As of September 27, 2025, the amount available under the Credit Agreement was $210.2 million, after giving effect to the outstanding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560"/>
        <w:gridCol w:w="86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9</w:t>
            </w:r>
          </w:p>
        </w:tc>
        <w:tc>
          <w:tcPr>
            <w:tcW w:w="8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Inventories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4603" w:type="dxa"/>
        <w:jc w:val="left"/>
        <w:tblInd w:w="0" w:type="dxa"/>
        <w:tblLayout w:type="fixed"/>
        <w:tblCellMar>
          <w:top w:w="0" w:type="dxa"/>
          <w:left w:w="0" w:type="dxa"/>
          <w:bottom w:w="0" w:type="dxa"/>
          <w:right w:w="0" w:type="dxa"/>
        </w:tblCellMar>
      </w:tblPr>
      <w:tblGrid>
        <w:gridCol w:w="2165"/>
        <w:gridCol w:w="60"/>
        <w:gridCol w:w="149"/>
        <w:gridCol w:w="830"/>
        <w:gridCol w:w="60"/>
        <w:gridCol w:w="60"/>
        <w:gridCol w:w="185"/>
        <w:gridCol w:w="1034"/>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89,512</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32,259</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Packaging materials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11,122</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parts and other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42,280</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175,173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665"/>
        <w:gridCol w:w="182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10</w:t>
            </w:r>
          </w:p>
        </w:tc>
        <w:tc>
          <w:tcPr>
            <w:tcW w:w="18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financial results are presented as three reportable segments: Food Service, Retail Supermarkets and Frozen Beverages. These segments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Food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by the Food Service segment are soft pretzels, frozen novelties, churros, handheld products and baked goods. Our customers in the Food Service segment include snack bars and food stands in chain, department and discount stores; malls and shopping centers; fast food and casual dining restaurants; stadiums and sports arenas; leisure and theme parks; convenience stores; movie theatres; warehouse club stores; schools, colleges and other institutions. Within the food service industry, our products are purchased by the consumer primarily for consumption at the point-of-sale or for take-away.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Retail Supermarkets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to the retail supermarket channel are soft pretzel products, including SUPERPRETZEL and AUNTIE ANNE’S; frozen novelties, including LUIGI’S Real Italian Ice, MINUTE MAID Juice Bars and Soft Frozen Lemonade, WHOLE FRUIT frozen fruit bars and sorbet, DOGSTERS ice cream style treats for dogs, PHILLY SWIRL cups and sticks, ICEE Squeeze-Up Tubes, and handheld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sell frozen beverages to the foodservice industry primarily under the names ICEE, SLUSH PUPPIE and PARROT ICE in the United States, Mexico and Canada. We also provide repair and maintenance services to customers for customer-owned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principally sell our products to the food service and retail supermarket industries. Sales and results of our frozen beverages business are monitored separately from the balance of our food service business because of different distribution and capital requirements. We maintain separate and discrete financial information for the three operating segments mentioned above which is available to our Chief Operating Decision Maker, who is our Chief Executive Officer. We have applied no aggregation criteria to any of these operating segments in order to determine reportable segments. All inter-segment net sales and expenses have been eliminated in computing net sales and operating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Chief Operating Decision Maker reviews monthly detailed operating income statements and sales reports in order to assess performance and allocate resources to each individual segment. Sales and operating income are key variables monitored by the Chief Operating Decision Maker when determining each segment and the Company’s financial condition and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Significant expenses are expenses which are regularly provided to the Chief Operating Decision Maker and are included in segment operating income. These consist of cost of sales, marketing and selling expenses, distribution expenses, administrative expenses, intangible asset impairment charges, and other general expenses. Cost of sales includes raw materials, direct labor and plant overhead costs. Distribution expenses include costs associated with the transportation of our products to customers. Marketing and selling expenses include costs to execute sales to customers, and costs related to the selling, marketing, advertising and promotional activities. Administrative expenses include costs that are not directly tied to the manufacturing, distribution, or marketing and selling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Costs that are directly attributable to our Food Service, Retail Supermarkets, or Frozen Beverages segments are charged directly to the appropriate segment. Costs that are deemed to be indirect, excluding unallocated general corporate expenses and other unusual significant transactions such as gain on insurance proceeds received for damage to property, plant and equipment, and plant closure expenses, are allocated to the three reportable segments using a reasonable methodology that is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To align with how our Chief Operating Decision Maker currently reviews the monthly detailed operating income statements, we have reclassified certain corporate expenses that are not allocated to our three reportable segments. This change in presentation resulted in a decrease to our Food Service segment operating income of $3.6 million, and increases to both our Retail and Frozen Beverage segment operating incomes of $0.4 million in the three months ended June 28, 2025. In the nine months ended June 28, 2025, this change in presentation resulted in increases of $9.7 million to our Food Service segment operating income, $2.0 million to our Retail segment operating income, and $1.4 million to our Frozen Beverage segment operating income. The corresponding impacts of the presentation change are seen within General corporate expenses, Intangible asset impairment charges, and Gain on insurance proceeds received for damage to property, plant, and equipment in the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addition, the Chief Operating Decision Maker reviews and evaluates capital spending of each segment on a quarterly basis to monitor cash flow and asset needs of each segment. Additionally, our Chief Operating Decision Maker considers variances of actual performance to our annual operating plan and periodic forecasts when making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Information regarding the operations in these three reportable segments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0"/>
        <w:gridCol w:w="60"/>
        <w:gridCol w:w="110"/>
        <w:gridCol w:w="605"/>
        <w:gridCol w:w="60"/>
        <w:gridCol w:w="60"/>
        <w:gridCol w:w="169"/>
        <w:gridCol w:w="796"/>
        <w:gridCol w:w="60"/>
        <w:gridCol w:w="60"/>
        <w:gridCol w:w="116"/>
        <w:gridCol w:w="639"/>
        <w:gridCol w:w="60"/>
        <w:gridCol w:w="60"/>
        <w:gridCol w:w="110"/>
        <w:gridCol w:w="605"/>
        <w:gridCol w:w="80"/>
        <w:gridCol w:w="60"/>
        <w:gridCol w:w="110"/>
        <w:gridCol w:w="605"/>
        <w:gridCol w:w="60"/>
        <w:gridCol w:w="60"/>
        <w:gridCol w:w="148"/>
        <w:gridCol w:w="817"/>
        <w:gridCol w:w="60"/>
        <w:gridCol w:w="60"/>
        <w:gridCol w:w="116"/>
        <w:gridCol w:w="639"/>
        <w:gridCol w:w="60"/>
        <w:gridCol w:w="60"/>
        <w:gridCol w:w="110"/>
        <w:gridCol w:w="740"/>
        <w:gridCol w:w="80"/>
      </w:tblGrid>
      <w:tr>
        <w:trPr/>
        <w:tc>
          <w:tcPr>
            <w:tcW w:w="2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1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June 27,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4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Nine months ended June 27, 2026</w:t>
            </w:r>
          </w:p>
        </w:tc>
        <w:tc>
          <w:tcPr>
            <w:tcW w:w="80" w:type="dxa"/>
            <w:tcBorders/>
            <w:vAlign w:val="center"/>
          </w:tcPr>
          <w:p>
            <w:pPr>
              <w:pStyle w:val="TableContents"/>
              <w:bidi w:val="0"/>
              <w:spacing w:before="0" w:after="283"/>
              <w:jc w:val="left"/>
              <w:rPr/>
            </w:pPr>
            <w:r>
              <w:rPr/>
              <w:t> </w:t>
            </w:r>
          </w:p>
        </w:tc>
      </w:tr>
      <w:tr>
        <w:trPr/>
        <w:tc>
          <w:tcPr>
            <w:tcW w:w="2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10"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45"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80" w:type="dxa"/>
            <w:tcBorders/>
            <w:vAlign w:val="center"/>
          </w:tcPr>
          <w:p>
            <w:pPr>
              <w:pStyle w:val="TableContents"/>
              <w:bidi w:val="0"/>
              <w:spacing w:before="0" w:after="283"/>
              <w:jc w:val="left"/>
              <w:rPr/>
            </w:pPr>
            <w:r>
              <w:rPr/>
              <w:t> </w:t>
            </w:r>
          </w:p>
        </w:tc>
      </w:tr>
      <w:tr>
        <w:trPr/>
        <w:tc>
          <w:tcPr>
            <w:tcW w:w="2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Retail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Frozen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Retail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Frozen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Service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Supermarket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Beverages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Service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Supermarket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Beverages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80" w:type="dxa"/>
            <w:tcBorders/>
            <w:vAlign w:val="center"/>
          </w:tcPr>
          <w:p>
            <w:pPr>
              <w:pStyle w:val="TableContents"/>
              <w:bidi w:val="0"/>
              <w:spacing w:before="0" w:after="283"/>
              <w:jc w:val="left"/>
              <w:rPr/>
            </w:pPr>
            <w:r>
              <w:rPr/>
              <w:t> </w:t>
            </w:r>
          </w:p>
        </w:tc>
      </w:tr>
      <w:tr>
        <w:trPr/>
        <w:tc>
          <w:tcPr>
            <w:tcW w:w="2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688,109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1,114,554</w:t>
            </w:r>
          </w:p>
        </w:tc>
        <w:tc>
          <w:tcPr>
            <w:tcW w:w="80" w:type="dxa"/>
            <w:tcBorders/>
            <w:shd w:fill="CCEEFF" w:val="clear"/>
            <w:vAlign w:val="center"/>
          </w:tcPr>
          <w:p>
            <w:pPr>
              <w:pStyle w:val="TableContents"/>
              <w:bidi w:val="0"/>
              <w:spacing w:before="0" w:after="283"/>
              <w:jc w:val="left"/>
              <w:rPr/>
            </w:pPr>
            <w:r>
              <w:rPr/>
              <w:t> </w:t>
            </w:r>
          </w:p>
        </w:tc>
      </w:tr>
      <w:tr>
        <w:trPr/>
        <w:tc>
          <w:tcPr>
            <w:tcW w:w="2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Less: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Cost of goods sold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470,145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768,234</w:t>
            </w:r>
          </w:p>
        </w:tc>
        <w:tc>
          <w:tcPr>
            <w:tcW w:w="80" w:type="dxa"/>
            <w:tcBorders/>
            <w:shd w:fill="FFFFFF" w:val="clear"/>
            <w:vAlign w:val="center"/>
          </w:tcPr>
          <w:p>
            <w:pPr>
              <w:pStyle w:val="TableContents"/>
              <w:bidi w:val="0"/>
              <w:spacing w:before="0" w:after="283"/>
              <w:jc w:val="left"/>
              <w:rPr/>
            </w:pPr>
            <w:r>
              <w:rPr/>
              <w:t> </w:t>
            </w:r>
          </w:p>
        </w:tc>
      </w:tr>
      <w:tr>
        <w:trPr/>
        <w:tc>
          <w:tcPr>
            <w:tcW w:w="2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Segment gross profit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346,320</w:t>
            </w:r>
          </w:p>
        </w:tc>
        <w:tc>
          <w:tcPr>
            <w:tcW w:w="80" w:type="dxa"/>
            <w:tcBorders/>
            <w:shd w:fill="CCEEFF" w:val="clear"/>
            <w:vAlign w:val="center"/>
          </w:tcPr>
          <w:p>
            <w:pPr>
              <w:pStyle w:val="TableContents"/>
              <w:bidi w:val="0"/>
              <w:spacing w:before="0" w:after="283"/>
              <w:jc w:val="left"/>
              <w:rPr/>
            </w:pPr>
            <w:r>
              <w:rPr/>
              <w:t> </w:t>
            </w:r>
          </w:p>
        </w:tc>
      </w:tr>
      <w:tr>
        <w:trPr/>
        <w:tc>
          <w:tcPr>
            <w:tcW w:w="2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Marketing and selling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96,209</w:t>
            </w:r>
          </w:p>
        </w:tc>
        <w:tc>
          <w:tcPr>
            <w:tcW w:w="80" w:type="dxa"/>
            <w:tcBorders/>
            <w:shd w:fill="CCEEFF" w:val="clear"/>
            <w:vAlign w:val="center"/>
          </w:tcPr>
          <w:p>
            <w:pPr>
              <w:pStyle w:val="TableContents"/>
              <w:bidi w:val="0"/>
              <w:spacing w:before="0" w:after="283"/>
              <w:jc w:val="left"/>
              <w:rPr/>
            </w:pPr>
            <w:r>
              <w:rPr/>
              <w:t> </w:t>
            </w:r>
          </w:p>
        </w:tc>
      </w:tr>
      <w:tr>
        <w:trPr/>
        <w:tc>
          <w:tcPr>
            <w:tcW w:w="2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Distribution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49,621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129,414</w:t>
            </w:r>
          </w:p>
        </w:tc>
        <w:tc>
          <w:tcPr>
            <w:tcW w:w="80" w:type="dxa"/>
            <w:tcBorders/>
            <w:shd w:fill="FFFFFF" w:val="clear"/>
            <w:vAlign w:val="center"/>
          </w:tcPr>
          <w:p>
            <w:pPr>
              <w:pStyle w:val="TableContents"/>
              <w:bidi w:val="0"/>
              <w:spacing w:before="0" w:after="283"/>
              <w:jc w:val="left"/>
              <w:rPr/>
            </w:pPr>
            <w:r>
              <w:rPr/>
              <w:t> </w:t>
            </w:r>
          </w:p>
        </w:tc>
      </w:tr>
      <w:tr>
        <w:trPr/>
        <w:tc>
          <w:tcPr>
            <w:tcW w:w="2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Administrative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36,289</w:t>
            </w:r>
          </w:p>
        </w:tc>
        <w:tc>
          <w:tcPr>
            <w:tcW w:w="80" w:type="dxa"/>
            <w:tcBorders/>
            <w:shd w:fill="CCEEFF" w:val="clear"/>
            <w:vAlign w:val="center"/>
          </w:tcPr>
          <w:p>
            <w:pPr>
              <w:pStyle w:val="TableContents"/>
              <w:bidi w:val="0"/>
              <w:spacing w:before="0" w:after="283"/>
              <w:jc w:val="left"/>
              <w:rPr/>
            </w:pPr>
            <w:r>
              <w:rPr/>
              <w:t> </w:t>
            </w:r>
          </w:p>
        </w:tc>
      </w:tr>
      <w:tr>
        <w:trPr/>
        <w:tc>
          <w:tcPr>
            <w:tcW w:w="2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general expense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440</w:t>
            </w:r>
          </w:p>
        </w:tc>
        <w:tc>
          <w:tcPr>
            <w:tcW w:w="80" w:type="dxa"/>
            <w:tcBorders/>
            <w:shd w:fill="FFFFFF" w:val="clear"/>
            <w:vAlign w:val="center"/>
          </w:tcPr>
          <w:p>
            <w:pPr>
              <w:pStyle w:val="TableContents"/>
              <w:bidi w:val="0"/>
              <w:spacing w:before="0" w:after="283"/>
              <w:jc w:val="left"/>
              <w:rPr/>
            </w:pPr>
            <w:r>
              <w:rPr/>
              <w:t> </w:t>
            </w:r>
          </w:p>
        </w:tc>
      </w:tr>
      <w:tr>
        <w:trPr/>
        <w:tc>
          <w:tcPr>
            <w:tcW w:w="2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Segment operating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83,968</w:t>
            </w:r>
          </w:p>
        </w:tc>
        <w:tc>
          <w:tcPr>
            <w:tcW w:w="80" w:type="dxa"/>
            <w:tcBorders/>
            <w:shd w:fill="CCEEFF" w:val="clear"/>
            <w:vAlign w:val="center"/>
          </w:tcPr>
          <w:p>
            <w:pPr>
              <w:pStyle w:val="TableContents"/>
              <w:bidi w:val="0"/>
              <w:spacing w:before="0" w:after="283"/>
              <w:jc w:val="left"/>
              <w:rPr/>
            </w:pPr>
            <w:r>
              <w:rPr/>
              <w:t> </w:t>
            </w:r>
          </w:p>
        </w:tc>
      </w:tr>
      <w:tr>
        <w:trPr/>
        <w:tc>
          <w:tcPr>
            <w:tcW w:w="2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General corporate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25,340</w:t>
            </w:r>
          </w:p>
        </w:tc>
        <w:tc>
          <w:tcPr>
            <w:tcW w:w="80" w:type="dxa"/>
            <w:tcBorders/>
            <w:shd w:fill="CCEEFF" w:val="clear"/>
            <w:vAlign w:val="center"/>
          </w:tcPr>
          <w:p>
            <w:pPr>
              <w:pStyle w:val="TableContents"/>
              <w:bidi w:val="0"/>
              <w:spacing w:before="0" w:after="283"/>
              <w:jc w:val="left"/>
              <w:rPr/>
            </w:pPr>
            <w:r>
              <w:rPr/>
              <w:t> </w:t>
            </w:r>
          </w:p>
        </w:tc>
      </w:tr>
      <w:tr>
        <w:trPr/>
        <w:tc>
          <w:tcPr>
            <w:tcW w:w="2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Plant closure expense (recoveries)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10,714</w:t>
            </w:r>
          </w:p>
        </w:tc>
        <w:tc>
          <w:tcPr>
            <w:tcW w:w="80" w:type="dxa"/>
            <w:tcBorders/>
            <w:shd w:fill="CCEEFF" w:val="clear"/>
            <w:vAlign w:val="center"/>
          </w:tcPr>
          <w:p>
            <w:pPr>
              <w:pStyle w:val="TableContents"/>
              <w:bidi w:val="0"/>
              <w:spacing w:before="0" w:after="283"/>
              <w:jc w:val="left"/>
              <w:rPr/>
            </w:pPr>
            <w:r>
              <w:rPr/>
              <w:t> </w:t>
            </w:r>
          </w:p>
        </w:tc>
      </w:tr>
      <w:tr>
        <w:trPr/>
        <w:tc>
          <w:tcPr>
            <w:tcW w:w="27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Operating income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46,274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48,714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35"/>
        <w:gridCol w:w="60"/>
        <w:gridCol w:w="110"/>
        <w:gridCol w:w="605"/>
        <w:gridCol w:w="60"/>
        <w:gridCol w:w="60"/>
        <w:gridCol w:w="169"/>
        <w:gridCol w:w="796"/>
        <w:gridCol w:w="60"/>
        <w:gridCol w:w="60"/>
        <w:gridCol w:w="116"/>
        <w:gridCol w:w="639"/>
        <w:gridCol w:w="80"/>
        <w:gridCol w:w="60"/>
        <w:gridCol w:w="110"/>
        <w:gridCol w:w="605"/>
        <w:gridCol w:w="80"/>
        <w:gridCol w:w="60"/>
        <w:gridCol w:w="110"/>
        <w:gridCol w:w="605"/>
        <w:gridCol w:w="60"/>
        <w:gridCol w:w="60"/>
        <w:gridCol w:w="148"/>
        <w:gridCol w:w="817"/>
        <w:gridCol w:w="60"/>
        <w:gridCol w:w="60"/>
        <w:gridCol w:w="116"/>
        <w:gridCol w:w="639"/>
        <w:gridCol w:w="60"/>
        <w:gridCol w:w="60"/>
        <w:gridCol w:w="110"/>
        <w:gridCol w:w="740"/>
        <w:gridCol w:w="9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June 28,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4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Nine months ended June 28, 2025</w:t>
            </w:r>
          </w:p>
        </w:tc>
        <w:tc>
          <w:tcPr>
            <w:tcW w:w="9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0"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45"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9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Retail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Frozen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Retail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Frozen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Service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Supermarket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Beverages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Service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Supermarket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Beverages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9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454,293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742,105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1,172,990</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Less: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Cost of goods sold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69,434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304,248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536,209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833,341</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Segment gross profit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43,830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339,649</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Marketing and selling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91,023</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Distribution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126,128</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Administrative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36,443</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general expense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Segment operating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57,784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85,979</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General corporate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22,242</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Intangible asset impairment charges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1,500</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Gain on insurance proceeds received for damage to property, plant, and equipment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(10,622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(10,622</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Plant closure expense (recoveries)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Operating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72,859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sales to external customers by type of good or service were:</w:t>
      </w:r>
    </w:p>
    <w:p>
      <w:pPr>
        <w:pStyle w:val="TextBody"/>
        <w:bidi w:val="0"/>
        <w:spacing w:before="0" w:after="0"/>
        <w:ind w:left="0" w:right="0" w:hanging="0"/>
        <w:jc w:val="left"/>
        <w:rPr>
          <w:caps w:val="false"/>
          <w:smallCaps w:val="false"/>
        </w:rPr>
      </w:pPr>
      <w:r>
        <w:rPr>
          <w:caps w:val="false"/>
          <w:smallCaps w:val="false"/>
        </w:rPr>
        <w:t> </w:t>
      </w:r>
    </w:p>
    <w:tbl>
      <w:tblPr>
        <w:tblW w:w="8100" w:type="dxa"/>
        <w:jc w:val="left"/>
        <w:tblInd w:w="0" w:type="dxa"/>
        <w:tblLayout w:type="fixed"/>
        <w:tblCellMar>
          <w:top w:w="0" w:type="dxa"/>
          <w:left w:w="0" w:type="dxa"/>
          <w:bottom w:w="0" w:type="dxa"/>
          <w:right w:w="0" w:type="dxa"/>
        </w:tblCellMar>
      </w:tblPr>
      <w:tblGrid>
        <w:gridCol w:w="4025"/>
        <w:gridCol w:w="60"/>
        <w:gridCol w:w="125"/>
        <w:gridCol w:w="695"/>
        <w:gridCol w:w="60"/>
        <w:gridCol w:w="60"/>
        <w:gridCol w:w="125"/>
        <w:gridCol w:w="695"/>
        <w:gridCol w:w="60"/>
        <w:gridCol w:w="60"/>
        <w:gridCol w:w="125"/>
        <w:gridCol w:w="845"/>
        <w:gridCol w:w="60"/>
        <w:gridCol w:w="60"/>
        <w:gridCol w:w="125"/>
        <w:gridCol w:w="845"/>
        <w:gridCol w:w="75"/>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742,105</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162,425</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157,198</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1,061,728</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 and maintenance service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repair and maintenance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72,232</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Repair and maintenance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72,232</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Machines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machines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36,603</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Machine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36,603</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other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2,427</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2,427</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1,172,990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Total depreciation and amortization expense, capital expenditures, and total assets by segment, reflecting our current segment structure for all periods presented, were:</w:t>
      </w:r>
    </w:p>
    <w:p>
      <w:pPr>
        <w:pStyle w:val="TextBody"/>
        <w:bidi w:val="0"/>
        <w:spacing w:before="0" w:after="0"/>
        <w:ind w:left="0" w:right="0" w:hanging="0"/>
        <w:jc w:val="left"/>
        <w:rPr>
          <w:caps w:val="false"/>
          <w:smallCaps w:val="false"/>
        </w:rPr>
      </w:pPr>
      <w:r>
        <w:rPr>
          <w:caps w:val="false"/>
          <w:smallCaps w:val="false"/>
        </w:rPr>
        <w:t> </w:t>
      </w:r>
    </w:p>
    <w:tbl>
      <w:tblPr>
        <w:tblW w:w="6547" w:type="dxa"/>
        <w:jc w:val="left"/>
        <w:tblInd w:w="0" w:type="dxa"/>
        <w:tblLayout w:type="fixed"/>
        <w:tblCellMar>
          <w:top w:w="0" w:type="dxa"/>
          <w:left w:w="0" w:type="dxa"/>
          <w:bottom w:w="0" w:type="dxa"/>
          <w:right w:w="0" w:type="dxa"/>
        </w:tblCellMar>
      </w:tblPr>
      <w:tblGrid>
        <w:gridCol w:w="2960"/>
        <w:gridCol w:w="60"/>
        <w:gridCol w:w="139"/>
        <w:gridCol w:w="658"/>
        <w:gridCol w:w="66"/>
        <w:gridCol w:w="66"/>
        <w:gridCol w:w="139"/>
        <w:gridCol w:w="658"/>
        <w:gridCol w:w="60"/>
        <w:gridCol w:w="60"/>
        <w:gridCol w:w="129"/>
        <w:gridCol w:w="612"/>
        <w:gridCol w:w="62"/>
        <w:gridCol w:w="62"/>
        <w:gridCol w:w="129"/>
        <w:gridCol w:w="612"/>
        <w:gridCol w:w="7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36,671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35,437</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16,673</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 and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18,786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56,385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54,167</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43,049</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17,807</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expenditures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53,263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438" w:type="dxa"/>
        <w:jc w:val="left"/>
        <w:tblInd w:w="0" w:type="dxa"/>
        <w:tblLayout w:type="fixed"/>
        <w:tblCellMar>
          <w:top w:w="0" w:type="dxa"/>
          <w:left w:w="0" w:type="dxa"/>
          <w:bottom w:w="0" w:type="dxa"/>
          <w:right w:w="0" w:type="dxa"/>
        </w:tblCellMar>
      </w:tblPr>
      <w:tblGrid>
        <w:gridCol w:w="1580"/>
        <w:gridCol w:w="60"/>
        <w:gridCol w:w="125"/>
        <w:gridCol w:w="845"/>
        <w:gridCol w:w="60"/>
        <w:gridCol w:w="60"/>
        <w:gridCol w:w="157"/>
        <w:gridCol w:w="1062"/>
        <w:gridCol w:w="60"/>
        <w:gridCol w:w="60"/>
        <w:gridCol w:w="125"/>
        <w:gridCol w:w="845"/>
        <w:gridCol w:w="60"/>
        <w:gridCol w:w="60"/>
        <w:gridCol w:w="157"/>
        <w:gridCol w:w="1062"/>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961,092</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30,327</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364,473</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25,609</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Geographic data for net sales (recognized in the countries where products were sold from) and total assets were:</w:t>
      </w:r>
    </w:p>
    <w:p>
      <w:pPr>
        <w:pStyle w:val="TextBody"/>
        <w:bidi w:val="0"/>
        <w:spacing w:before="0" w:after="0"/>
        <w:ind w:left="0" w:right="0" w:hanging="0"/>
        <w:jc w:val="left"/>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2960"/>
        <w:gridCol w:w="60"/>
        <w:gridCol w:w="125"/>
        <w:gridCol w:w="695"/>
        <w:gridCol w:w="60"/>
        <w:gridCol w:w="60"/>
        <w:gridCol w:w="125"/>
        <w:gridCol w:w="695"/>
        <w:gridCol w:w="60"/>
        <w:gridCol w:w="60"/>
        <w:gridCol w:w="125"/>
        <w:gridCol w:w="845"/>
        <w:gridCol w:w="60"/>
        <w:gridCol w:w="60"/>
        <w:gridCol w:w="125"/>
        <w:gridCol w:w="845"/>
        <w:gridCol w:w="6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1,122,116</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50,874</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 to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1,172,990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958" w:type="dxa"/>
        <w:jc w:val="left"/>
        <w:tblInd w:w="0" w:type="dxa"/>
        <w:tblLayout w:type="fixed"/>
        <w:tblCellMar>
          <w:top w:w="0" w:type="dxa"/>
          <w:left w:w="0" w:type="dxa"/>
          <w:bottom w:w="0" w:type="dxa"/>
          <w:right w:w="0" w:type="dxa"/>
        </w:tblCellMar>
      </w:tblPr>
      <w:tblGrid>
        <w:gridCol w:w="1100"/>
        <w:gridCol w:w="60"/>
        <w:gridCol w:w="125"/>
        <w:gridCol w:w="845"/>
        <w:gridCol w:w="60"/>
        <w:gridCol w:w="60"/>
        <w:gridCol w:w="157"/>
        <w:gridCol w:w="1062"/>
        <w:gridCol w:w="60"/>
        <w:gridCol w:w="60"/>
        <w:gridCol w:w="125"/>
        <w:gridCol w:w="845"/>
        <w:gridCol w:w="60"/>
        <w:gridCol w:w="60"/>
        <w:gridCol w:w="157"/>
        <w:gridCol w:w="1062"/>
        <w:gridCol w:w="60"/>
      </w:tblGrid>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1,302,387</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79,114</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665"/>
        <w:gridCol w:w="263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w:t>
            </w:r>
          </w:p>
        </w:tc>
        <w:tc>
          <w:tcPr>
            <w:tcW w:w="26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 and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reportable segments are Food Service, Retail Supermarkets and 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carrying amounts of acquired intangible assets for the Food Service, Retail Supermarkets and Frozen Beverages segments as of June 27, 2026 and September 27, 2025 are as follows:</w:t>
      </w:r>
    </w:p>
    <w:p>
      <w:pPr>
        <w:pStyle w:val="TextBody"/>
        <w:bidi w:val="0"/>
        <w:spacing w:before="0" w:after="0"/>
        <w:ind w:left="0" w:right="0" w:hanging="0"/>
        <w:jc w:val="left"/>
        <w:rPr>
          <w:caps w:val="false"/>
          <w:smallCaps w:val="false"/>
        </w:rPr>
      </w:pPr>
      <w:r>
        <w:rPr>
          <w:caps w:val="false"/>
          <w:smallCaps w:val="false"/>
        </w:rPr>
        <w:t> </w:t>
      </w:r>
    </w:p>
    <w:tbl>
      <w:tblPr>
        <w:tblW w:w="7416" w:type="dxa"/>
        <w:jc w:val="left"/>
        <w:tblInd w:w="0" w:type="dxa"/>
        <w:tblLayout w:type="fixed"/>
        <w:tblCellMar>
          <w:top w:w="0" w:type="dxa"/>
          <w:left w:w="0" w:type="dxa"/>
          <w:bottom w:w="0" w:type="dxa"/>
          <w:right w:w="0" w:type="dxa"/>
        </w:tblCellMar>
      </w:tblPr>
      <w:tblGrid>
        <w:gridCol w:w="2960"/>
        <w:gridCol w:w="60"/>
        <w:gridCol w:w="125"/>
        <w:gridCol w:w="695"/>
        <w:gridCol w:w="60"/>
        <w:gridCol w:w="60"/>
        <w:gridCol w:w="202"/>
        <w:gridCol w:w="958"/>
        <w:gridCol w:w="60"/>
        <w:gridCol w:w="60"/>
        <w:gridCol w:w="127"/>
        <w:gridCol w:w="707"/>
        <w:gridCol w:w="61"/>
        <w:gridCol w:w="61"/>
        <w:gridCol w:w="202"/>
        <w:gridCol w:w="958"/>
        <w:gridCol w:w="6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27,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 2025</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6"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85,424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agreements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14,749</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7,493</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and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144,789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29,254</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Licenses and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2,320</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204,224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Amortizing intangible assets are being amortized by the straight-line method over periods ranging from 10 to 20 years and amortization expense is reflected throughout operating expenses. Aggregate amortization expense of intangible assets for the three months ended June 27, 2026 and June 28, 2025 was $1.4 million and $1.9 million, respectively. Aggregate amortization expense of intangible assets for the nine months ended June 27, 2026 and June 28, 2025 was $4.2 million and $5.9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Estimated amortization expense for the next five fiscal years is approximately $1.4 million in 2026 (excluding the nine months ended June 27, 2026), $4.7 million in 2027, $4.3 million in 2028 and 2029, and $4.2 million in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weighted amortization period of the intangible assets, in total, is 10.0 years. The weighted amortization period by intangible asset class is 10 years for Technology, 10 years for Customer relationships, 20 years for Licenses &amp; rights, and 10 years for Franchise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Goodwill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carrying amounts of goodwill for the Food Service, Retail Supermarket and Frozen Beverage segments are as follows:</w:t>
      </w:r>
    </w:p>
    <w:p>
      <w:pPr>
        <w:pStyle w:val="TextBody"/>
        <w:bidi w:val="0"/>
        <w:spacing w:before="0" w:after="0"/>
        <w:ind w:left="0" w:right="0" w:hanging="0"/>
        <w:jc w:val="left"/>
        <w:rPr>
          <w:caps w:val="false"/>
          <w:smallCaps w:val="false"/>
        </w:rPr>
      </w:pPr>
      <w:r>
        <w:rPr>
          <w:caps w:val="false"/>
          <w:smallCaps w:val="false"/>
        </w:rPr>
        <w:t> </w:t>
      </w:r>
    </w:p>
    <w:tbl>
      <w:tblPr>
        <w:tblW w:w="3859" w:type="dxa"/>
        <w:jc w:val="left"/>
        <w:tblInd w:w="0" w:type="dxa"/>
        <w:tblLayout w:type="fixed"/>
        <w:tblCellMar>
          <w:top w:w="0" w:type="dxa"/>
          <w:left w:w="0" w:type="dxa"/>
          <w:bottom w:w="0" w:type="dxa"/>
          <w:right w:w="0" w:type="dxa"/>
        </w:tblCellMar>
      </w:tblPr>
      <w:tblGrid>
        <w:gridCol w:w="1580"/>
        <w:gridCol w:w="60"/>
        <w:gridCol w:w="125"/>
        <w:gridCol w:w="695"/>
        <w:gridCol w:w="60"/>
        <w:gridCol w:w="60"/>
        <w:gridCol w:w="185"/>
        <w:gridCol w:w="1034"/>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5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124,426</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56,498</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goodwill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665"/>
        <w:gridCol w:w="2795"/>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12</w:t>
            </w:r>
          </w:p>
        </w:tc>
        <w:tc>
          <w:tcPr>
            <w:tcW w:w="27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are a party to litigation which has arisen in the normal course of business which management currently believes will not have a material adverse effect on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June 27, 2026, an advisory jury returned a verdict in favor of the Company in connection with a long-standing legal matter. As of the date of issuance of the financial statements, final judgment has not been entered by the court, and significant uncertainty remains regarding the ultimate recovery, including the timing, amount and collectability of any proceeds that may be received. Accordingly, the Company has not recognized a gain or recorded a receivable related to this matter in the accompanying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self-insure, up to loss limits, certain insurable risks such as workers’ compensation, automobile, and general liability claims. Accruals for claims under our self-insurance program are recorded on a claims incurred basis. Our total recorded liability for all years’ claims incurred but not yet paid was $13.7 million and $14.4 million at June 27, 2026 and September 27, 2025, respectively. In connection with certain self-insurance agreements, we customarily enter into letters of credit arrangements with our insurers. At both June 27, 2026 and September 27, 2025, we had outstanding letters of credit totaling $14.8 million.</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a self-insured medical plan which covers approximately 1,800 of our employees. We record a liability for incurred but not yet reported or paid claims based on our historical experience of claim payments and a calculated lag time period. Our recorded liability at June 27, 2026 and September 27, 2025 was $1.9 million and $2.2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August 19, 2024, we experienced a fire at our Holly Ridge plant in North Carolina. The building was damaged as a result of the fire, and plant operations were interrupted. We maintain property, general liability and business interruption insurance coverage. Based on the provisions of our insurance policies, we record estimated insurance recoveries for fire-related costs for which recovery is deemed to be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nine months ended June 27, 2026, we recorded $0.3 million of fire-related costs, and we recognized a gain of $2.0 million for insurance proceeds received in excess of operational losses recognized, in cost of goods sold in the Consolidated Statement of Earnings. Additionally, in the nine months ended June 27, 2026, we recognized a gain of $0.8 million for insurance proceeds received for damage to property, plant, and equipment in the Consolidated Statement of Earnings and we received $3.1 million of insurance proceeds for inventory, fixed asset replacement costs, and business interruption losses. During the three months ended June 27, 2026, no additional fire-related costs or gains were recognized and no insurance proceeds were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three and nine months ended June 28, 2025, we recorded an additional $0.3 million and $10.4 million of fire-related costs, respectively, for all of which recovery was deemed to be probable , and we recognized a gain of $0.8 million for insurance proceeds received in excess of operational losses recognized, in cost of goods sold in the Consolidated Statement of Earnings. Additionally, in the three and nine months ended June 28, 2025, we recognized a gain of $10.6 million for insurance proceeds received for damage to property, plant, and equipment in the Consolidated Statement of Earnings and we received $21.1 million and $23.6 million of insurance proceeds, respectively, for inventory, fixed asset replacement costs, and business interruption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Cumulative fire-related costs recorded through June 27, 2026 were $17.5 million, for all of which recovery has been received. Cumulative insurance proceeds received as of June 27, 2026 were $34.7 million for inventory, fixed asset replacement costs, and business interruption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See below for a roll forward of the insurance receivable, net of advanced proceeds received for other fire-related costs for which recovery was deemed probable in the Consolidated Balance Sheet for the three and nine months ended June 27, 2026 and June 28,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77"/>
        <w:gridCol w:w="60"/>
        <w:gridCol w:w="392"/>
        <w:gridCol w:w="249"/>
        <w:gridCol w:w="84"/>
        <w:gridCol w:w="84"/>
        <w:gridCol w:w="175"/>
        <w:gridCol w:w="914"/>
        <w:gridCol w:w="80"/>
        <w:gridCol w:w="60"/>
        <w:gridCol w:w="131"/>
        <w:gridCol w:w="577"/>
        <w:gridCol w:w="80"/>
        <w:gridCol w:w="60"/>
        <w:gridCol w:w="125"/>
        <w:gridCol w:w="657"/>
        <w:gridCol w:w="100"/>
      </w:tblGrid>
      <w:tr>
        <w:trPr/>
        <w:tc>
          <w:tcPr>
            <w:tcW w:w="63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100" w:type="dxa"/>
            <w:tcBorders/>
            <w:vAlign w:val="center"/>
          </w:tcPr>
          <w:p>
            <w:pPr>
              <w:pStyle w:val="TableContents"/>
              <w:bidi w:val="0"/>
              <w:spacing w:before="0" w:after="283"/>
              <w:jc w:val="left"/>
              <w:rPr/>
            </w:pPr>
            <w:r>
              <w:rPr/>
              <w:t> </w:t>
            </w:r>
          </w:p>
        </w:tc>
      </w:tr>
      <w:tr>
        <w:trPr/>
        <w:tc>
          <w:tcPr>
            <w:tcW w:w="63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0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100" w:type="dxa"/>
            <w:tcBorders/>
            <w:vAlign w:val="center"/>
          </w:tcPr>
          <w:p>
            <w:pPr>
              <w:pStyle w:val="TableContents"/>
              <w:bidi w:val="0"/>
              <w:spacing w:before="0" w:after="283"/>
              <w:jc w:val="left"/>
              <w:rPr/>
            </w:pPr>
            <w:r>
              <w:rPr/>
              <w:t> </w:t>
            </w:r>
          </w:p>
        </w:tc>
      </w:tr>
      <w:tr>
        <w:trPr/>
        <w:tc>
          <w:tcPr>
            <w:tcW w:w="63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0" w:type="dxa"/>
            <w:tcBorders/>
            <w:vAlign w:val="center"/>
          </w:tcPr>
          <w:p>
            <w:pPr>
              <w:pStyle w:val="TableContents"/>
              <w:bidi w:val="0"/>
              <w:spacing w:before="0" w:after="283"/>
              <w:jc w:val="left"/>
              <w:rPr/>
            </w:pPr>
            <w:r>
              <w:rPr/>
              <w:t> </w:t>
            </w:r>
          </w:p>
        </w:tc>
      </w:tr>
      <w:tr>
        <w:trPr/>
        <w:tc>
          <w:tcPr>
            <w:tcW w:w="63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100" w:type="dxa"/>
            <w:tcBorders/>
            <w:vAlign w:val="center"/>
          </w:tcPr>
          <w:p>
            <w:pPr>
              <w:pStyle w:val="TableContents"/>
              <w:bidi w:val="0"/>
              <w:spacing w:before="0" w:after="283"/>
              <w:jc w:val="left"/>
              <w:rPr/>
            </w:pPr>
            <w:r>
              <w:rPr/>
              <w:t> </w:t>
            </w:r>
          </w:p>
        </w:tc>
      </w:tr>
      <w:tr>
        <w:trPr/>
        <w:tc>
          <w:tcPr>
            <w:tcW w:w="63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Insurance receivable, net of advance proceeds received for other fire-related costs</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63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3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w:t>
            </w:r>
          </w:p>
        </w:tc>
        <w:tc>
          <w:tcPr>
            <w:tcW w:w="100" w:type="dxa"/>
            <w:tcBorders/>
            <w:shd w:fill="CCEEFF" w:val="clear"/>
            <w:vAlign w:val="center"/>
          </w:tcPr>
          <w:p>
            <w:pPr>
              <w:pStyle w:val="TableContents"/>
              <w:bidi w:val="0"/>
              <w:spacing w:before="0" w:after="283"/>
              <w:jc w:val="left"/>
              <w:rPr/>
            </w:pPr>
            <w:r>
              <w:rPr/>
              <w:t> </w:t>
            </w:r>
          </w:p>
        </w:tc>
      </w:tr>
      <w:tr>
        <w:trPr/>
        <w:tc>
          <w:tcPr>
            <w:tcW w:w="637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Fire-related costs</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10,388</w:t>
            </w:r>
          </w:p>
        </w:tc>
        <w:tc>
          <w:tcPr>
            <w:tcW w:w="100" w:type="dxa"/>
            <w:tcBorders/>
            <w:shd w:fill="FFFFFF" w:val="clear"/>
            <w:vAlign w:val="center"/>
          </w:tcPr>
          <w:p>
            <w:pPr>
              <w:pStyle w:val="TableContents"/>
              <w:bidi w:val="0"/>
              <w:spacing w:before="0" w:after="283"/>
              <w:jc w:val="left"/>
              <w:rPr/>
            </w:pPr>
            <w:r>
              <w:rPr/>
              <w:t> </w:t>
            </w:r>
          </w:p>
        </w:tc>
      </w:tr>
      <w:tr>
        <w:trPr/>
        <w:tc>
          <w:tcPr>
            <w:tcW w:w="637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proceeds for inventory, fixed asset losses, and other fire-related costs</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(23,600</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7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100" w:type="dxa"/>
            <w:tcBorders/>
            <w:shd w:fill="FFFFFF" w:val="clear"/>
            <w:vAlign w:val="center"/>
          </w:tcPr>
          <w:p>
            <w:pPr>
              <w:pStyle w:val="TableContents"/>
              <w:bidi w:val="0"/>
              <w:spacing w:before="0" w:after="283"/>
              <w:jc w:val="left"/>
              <w:rPr/>
            </w:pPr>
            <w:r>
              <w:rPr/>
              <w:t> </w:t>
            </w:r>
          </w:p>
        </w:tc>
      </w:tr>
      <w:tr>
        <w:trPr/>
        <w:tc>
          <w:tcPr>
            <w:tcW w:w="637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or expected to be received, in excess of operating losses recognized</w:t>
            </w:r>
          </w:p>
        </w:tc>
        <w:tc>
          <w:tcPr>
            <w:tcW w:w="60" w:type="dxa"/>
            <w:tcBorders/>
            <w:shd w:fill="CCEEFF" w:val="clear"/>
            <w:vAlign w:val="center"/>
          </w:tcPr>
          <w:p>
            <w:pPr>
              <w:pStyle w:val="TableContents"/>
              <w:bidi w:val="0"/>
              <w:spacing w:before="0" w:after="283"/>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100" w:type="dxa"/>
            <w:tcBorders/>
            <w:shd w:fill="CCEEFF" w:val="clear"/>
            <w:vAlign w:val="center"/>
          </w:tcPr>
          <w:p>
            <w:pPr>
              <w:pStyle w:val="TableContents"/>
              <w:bidi w:val="0"/>
              <w:spacing w:before="0" w:after="283"/>
              <w:jc w:val="left"/>
              <w:rPr/>
            </w:pPr>
            <w:r>
              <w:rPr/>
              <w:t> </w:t>
            </w:r>
          </w:p>
        </w:tc>
      </w:tr>
      <w:tr>
        <w:trPr/>
        <w:tc>
          <w:tcPr>
            <w:tcW w:w="63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3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665"/>
        <w:gridCol w:w="4265"/>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13</w:t>
            </w:r>
          </w:p>
        </w:tc>
        <w:tc>
          <w:tcPr>
            <w:tcW w:w="42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Changes to the components of accumulated other comprehensive loss are as follows:</w:t>
      </w:r>
    </w:p>
    <w:p>
      <w:pPr>
        <w:pStyle w:val="TextBody"/>
        <w:bidi w:val="0"/>
        <w:spacing w:before="0" w:after="0"/>
        <w:ind w:left="0" w:right="0" w:hanging="0"/>
        <w:jc w:val="left"/>
        <w:rPr>
          <w:caps w:val="false"/>
          <w:smallCaps w:val="false"/>
        </w:rPr>
      </w:pPr>
      <w:r>
        <w:rPr>
          <w:caps w:val="false"/>
          <w:smallCaps w:val="false"/>
        </w:rPr>
        <w:t> </w:t>
      </w:r>
    </w:p>
    <w:tbl>
      <w:tblPr>
        <w:tblW w:w="7841" w:type="dxa"/>
        <w:jc w:val="left"/>
        <w:tblInd w:w="0" w:type="dxa"/>
        <w:tblLayout w:type="fixed"/>
        <w:tblCellMar>
          <w:top w:w="0" w:type="dxa"/>
          <w:left w:w="0" w:type="dxa"/>
          <w:bottom w:w="0" w:type="dxa"/>
          <w:right w:w="0" w:type="dxa"/>
        </w:tblCellMar>
      </w:tblPr>
      <w:tblGrid>
        <w:gridCol w:w="4145"/>
        <w:gridCol w:w="60"/>
        <w:gridCol w:w="127"/>
        <w:gridCol w:w="665"/>
        <w:gridCol w:w="81"/>
        <w:gridCol w:w="61"/>
        <w:gridCol w:w="127"/>
        <w:gridCol w:w="665"/>
        <w:gridCol w:w="80"/>
        <w:gridCol w:w="60"/>
        <w:gridCol w:w="125"/>
        <w:gridCol w:w="650"/>
        <w:gridCol w:w="80"/>
        <w:gridCol w:w="60"/>
        <w:gridCol w:w="125"/>
        <w:gridCol w:w="650"/>
        <w:gridCol w:w="8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9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41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 currency translation adjustments</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 gain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665"/>
        <w:gridCol w:w="59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14</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General Lease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operating leases with initial noncancelable lease terms in excess of one year covering the rental of various facilities and equipment. Certain of these leases contain renewal options and some provide options to purchase during the lease term. Our operating leases include leases for real estate for some of our office and manufacturing facilities as well as manufacturing and non-manufacturing equipment used in our business. The remaining lease terms for these operating leases range from 1 month to 18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finance leases with initial noncancelable lease terms in excess of one year covering the rental of various equipment. These leases are generally for manufacturing and non-manufacturing equipment used in our business. The remaining lease terms for these finance leases range from 1 year to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u w:val="single"/>
        </w:rPr>
        <w:t>Significant Assumptions and Judgments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Contract Contains a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evaluating our contracts to determine whether a contract is or contains a lease, we considered the following:</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60"/>
        <w:gridCol w:w="110"/>
        <w:gridCol w:w="72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Whether explicitly or implicitly identified assets have been deployed in the contract;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Whether we obtain substantially all of the economic benefits from the use of that underlying asset, and we can direct how and for what purpose the asset is used during the term of the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Allocation of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determining how to allocate consideration between lease and non-lease components in a contract that was deemed to contain a lease, we used judgment and consistent application of assumptions to reasonably allocate the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Options to Extend or Terminate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leases which contain options to extend or terminate the leases. On a lease-by-lease basis, we have determined if the extension should be considered reasonably certain to be exercised and thus a right-of-use asset and a lease liability should be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discount rate for leases, if not explicitly stated in the lease, is the incremental borrowing rate, which is the rate of interest that we would have to pay to borrow on a collateralized basis over a similar term an amount equal to the lease payments in a similar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used the discount rate to calculate the present value of the lease liability at the date of adoption. In the development of the discount rate, we considered our incremental borrowing rate as provided by our lender which was based on cash collateral and credit risk specific to us, and our lease portfolio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June 27, 2026, the weighted-average discount rate of our operating and finance leases was 5.2% and 4.1%, respectively. As of September 27, 2025, the weighted-average discount rate of our operating and finance leases was 5.2% and 4.1%,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Practical Expedients and Accounting Policy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elected the package of practical expedients that permits us not to reassess our prior conclusions about lease identification, lease classification and initial direct costs and made an accounting policy election to exclude short-term leases with an initial term of 12 months or less from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Amounts Recognized in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expense were as follows:</w:t>
      </w:r>
    </w:p>
    <w:p>
      <w:pPr>
        <w:pStyle w:val="TextBody"/>
        <w:bidi w:val="0"/>
        <w:spacing w:before="0" w:after="0"/>
        <w:ind w:left="0" w:right="0" w:hanging="0"/>
        <w:jc w:val="left"/>
        <w:rPr>
          <w:caps w:val="false"/>
          <w:smallCaps w:val="false"/>
        </w:rPr>
      </w:pPr>
      <w:r>
        <w:rPr>
          <w:caps w:val="false"/>
          <w:smallCaps w:val="false"/>
        </w:rPr>
        <w:t> </w:t>
      </w:r>
    </w:p>
    <w:tbl>
      <w:tblPr>
        <w:tblW w:w="9174" w:type="dxa"/>
        <w:jc w:val="left"/>
        <w:tblInd w:w="0" w:type="dxa"/>
        <w:tblLayout w:type="fixed"/>
        <w:tblCellMar>
          <w:top w:w="0" w:type="dxa"/>
          <w:left w:w="0" w:type="dxa"/>
          <w:bottom w:w="0" w:type="dxa"/>
          <w:right w:w="0" w:type="dxa"/>
        </w:tblCellMar>
      </w:tblPr>
      <w:tblGrid>
        <w:gridCol w:w="5600"/>
        <w:gridCol w:w="60"/>
        <w:gridCol w:w="161"/>
        <w:gridCol w:w="626"/>
        <w:gridCol w:w="77"/>
        <w:gridCol w:w="77"/>
        <w:gridCol w:w="161"/>
        <w:gridCol w:w="626"/>
        <w:gridCol w:w="60"/>
        <w:gridCol w:w="60"/>
        <w:gridCol w:w="129"/>
        <w:gridCol w:w="612"/>
        <w:gridCol w:w="62"/>
        <w:gridCol w:w="62"/>
        <w:gridCol w:w="129"/>
        <w:gridCol w:w="612"/>
        <w:gridCol w:w="60"/>
      </w:tblGrid>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8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 in Cost of goods sold and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23,386</w:t>
            </w:r>
          </w:p>
        </w:tc>
        <w:tc>
          <w:tcPr>
            <w:tcW w:w="6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cost: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assets in Cost of goods sold and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6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 in Interest expense &amp; other</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 in Cost of goods sold and Operating Expenses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24,683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Supplemental balance sheet information related to leases is as follows:</w:t>
      </w:r>
    </w:p>
    <w:p>
      <w:pPr>
        <w:pStyle w:val="TextBody"/>
        <w:bidi w:val="0"/>
        <w:spacing w:before="0" w:after="0"/>
        <w:ind w:left="0" w:right="0" w:hanging="0"/>
        <w:jc w:val="left"/>
        <w:rPr/>
      </w:pPr>
      <w:r>
        <w:rPr/>
        <w:t> </w:t>
      </w:r>
    </w:p>
    <w:tbl>
      <w:tblPr>
        <w:tblW w:w="7954" w:type="dxa"/>
        <w:jc w:val="left"/>
        <w:tblInd w:w="0" w:type="dxa"/>
        <w:tblLayout w:type="fixed"/>
        <w:tblCellMar>
          <w:top w:w="0" w:type="dxa"/>
          <w:left w:w="0" w:type="dxa"/>
          <w:bottom w:w="0" w:type="dxa"/>
          <w:right w:w="0" w:type="dxa"/>
        </w:tblCellMar>
      </w:tblPr>
      <w:tblGrid>
        <w:gridCol w:w="5675"/>
        <w:gridCol w:w="60"/>
        <w:gridCol w:w="125"/>
        <w:gridCol w:w="695"/>
        <w:gridCol w:w="60"/>
        <w:gridCol w:w="60"/>
        <w:gridCol w:w="185"/>
        <w:gridCol w:w="1034"/>
        <w:gridCol w:w="60"/>
      </w:tblGrid>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ind w:left="0" w:right="0" w:hanging="0"/>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151,538</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140,021</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161,645</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 in 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Supplemental cash flow information related to leases is as follows:</w:t>
      </w:r>
    </w:p>
    <w:p>
      <w:pPr>
        <w:pStyle w:val="TextBody"/>
        <w:bidi w:val="0"/>
        <w:spacing w:before="0" w:after="0"/>
        <w:ind w:left="0" w:right="0" w:hanging="0"/>
        <w:jc w:val="left"/>
        <w:rPr/>
      </w:pPr>
      <w:r>
        <w:rPr/>
        <w:t> </w:t>
      </w:r>
    </w:p>
    <w:tbl>
      <w:tblPr>
        <w:tblW w:w="10136" w:type="dxa"/>
        <w:jc w:val="left"/>
        <w:tblInd w:w="0" w:type="dxa"/>
        <w:tblLayout w:type="fixed"/>
        <w:tblCellMar>
          <w:top w:w="0" w:type="dxa"/>
          <w:left w:w="0" w:type="dxa"/>
          <w:bottom w:w="0" w:type="dxa"/>
          <w:right w:w="0" w:type="dxa"/>
        </w:tblCellMar>
      </w:tblPr>
      <w:tblGrid>
        <w:gridCol w:w="6755"/>
        <w:gridCol w:w="60"/>
        <w:gridCol w:w="148"/>
        <w:gridCol w:w="575"/>
        <w:gridCol w:w="81"/>
        <w:gridCol w:w="81"/>
        <w:gridCol w:w="148"/>
        <w:gridCol w:w="575"/>
        <w:gridCol w:w="60"/>
        <w:gridCol w:w="60"/>
        <w:gridCol w:w="122"/>
        <w:gridCol w:w="571"/>
        <w:gridCol w:w="66"/>
        <w:gridCol w:w="66"/>
        <w:gridCol w:w="122"/>
        <w:gridCol w:w="571"/>
        <w:gridCol w:w="75"/>
      </w:tblGrid>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Nine months ended</w:t>
            </w:r>
          </w:p>
        </w:tc>
        <w:tc>
          <w:tcPr>
            <w:tcW w:w="75"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27,</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7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27,</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9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28,</w:t>
            </w:r>
          </w:p>
        </w:tc>
        <w:tc>
          <w:tcPr>
            <w:tcW w:w="75"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7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75" w:type="dxa"/>
            <w:tcBorders/>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7,925</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23,425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22,507</w:t>
            </w:r>
          </w:p>
        </w:tc>
        <w:tc>
          <w:tcPr>
            <w:tcW w:w="7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75"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Financing cash flows from 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182</w:t>
            </w:r>
          </w:p>
        </w:tc>
        <w:tc>
          <w:tcPr>
            <w:tcW w:w="7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Supplemental noncash information on lease liabilities arising from obtaining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8,479</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20,257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23,342</w:t>
            </w:r>
          </w:p>
        </w:tc>
        <w:tc>
          <w:tcPr>
            <w:tcW w:w="7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Supplemental noncash information on lease liabilities removed due to purchase of leased asset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As of June 27, 2026, the maturities of lease liabilities were as follows:</w:t>
      </w:r>
    </w:p>
    <w:p>
      <w:pPr>
        <w:pStyle w:val="TextBody"/>
        <w:bidi w:val="0"/>
        <w:spacing w:before="0" w:after="0"/>
        <w:ind w:left="0" w:right="0" w:hanging="0"/>
        <w:jc w:val="left"/>
        <w:rPr/>
      </w:pPr>
      <w:r>
        <w:rPr/>
        <w:t> </w:t>
      </w:r>
    </w:p>
    <w:tbl>
      <w:tblPr>
        <w:tblW w:w="6503" w:type="dxa"/>
        <w:jc w:val="left"/>
        <w:tblInd w:w="0" w:type="dxa"/>
        <w:tblLayout w:type="fixed"/>
        <w:tblCellMar>
          <w:top w:w="0" w:type="dxa"/>
          <w:left w:w="0" w:type="dxa"/>
          <w:bottom w:w="0" w:type="dxa"/>
          <w:right w:w="0" w:type="dxa"/>
        </w:tblCellMar>
      </w:tblPr>
      <w:tblGrid>
        <w:gridCol w:w="3410"/>
        <w:gridCol w:w="60"/>
        <w:gridCol w:w="228"/>
        <w:gridCol w:w="1276"/>
        <w:gridCol w:w="80"/>
        <w:gridCol w:w="60"/>
        <w:gridCol w:w="267"/>
        <w:gridCol w:w="1042"/>
        <w:gridCol w:w="8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Leases</w:t>
            </w:r>
          </w:p>
        </w:tc>
        <w:tc>
          <w:tcPr>
            <w:tcW w:w="80" w:type="dxa"/>
            <w:tcBorders/>
            <w:vAlign w:val="center"/>
          </w:tcPr>
          <w:p>
            <w:pPr>
              <w:pStyle w:val="TableContents"/>
              <w:bidi w:val="0"/>
              <w:spacing w:before="0" w:after="283"/>
              <w:ind w:left="0" w:right="0" w:hanging="0"/>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ending September 26, 2026</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payments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218,011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representing interest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As of June 27, 2026 the weighted-average remaining term of our operating and finance leases was 10.7 years and 3.5 years, respectively.</w:t>
      </w:r>
    </w:p>
    <w:p>
      <w:pPr>
        <w:pStyle w:val="TextBody"/>
        <w:bidi w:val="0"/>
        <w:spacing w:before="0" w:after="0"/>
        <w:ind w:left="1080" w:right="0" w:hanging="0"/>
        <w:jc w:val="left"/>
        <w:rPr>
          <w:rFonts w:ascii="Times New Roman" w:hAnsi="Times New Roman"/>
          <w:sz w:val="20"/>
        </w:rPr>
      </w:pPr>
      <w:r>
        <w:rPr>
          <w:rFonts w:ascii="Times New Roman" w:hAnsi="Times New Roman"/>
          <w:sz w:val="20"/>
        </w:rPr>
        <w:t>As of September 27, 2025 the weighted-average remaining term of our operating and finance leases was 11.4 years and 4.1 years, respectively.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665"/>
        <w:gridCol w:w="131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15</w:t>
            </w:r>
          </w:p>
        </w:tc>
        <w:tc>
          <w:tcPr>
            <w:tcW w:w="13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NFI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related party expenses for distribution and shipping related costs with NFI Industries, Inc. and its affiliated entities (“NFI”). Our director, Sidney R. Brown, is CEO and an owner of NFI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payments to NFI were as follows:</w:t>
      </w:r>
    </w:p>
    <w:p>
      <w:pPr>
        <w:pStyle w:val="TextBody"/>
        <w:bidi w:val="0"/>
        <w:spacing w:before="0" w:after="0"/>
        <w:ind w:left="0" w:right="0" w:hanging="0"/>
        <w:jc w:val="left"/>
        <w:rPr>
          <w:caps w:val="false"/>
          <w:smallCaps w:val="false"/>
        </w:rPr>
      </w:pPr>
      <w:r>
        <w:rPr>
          <w:caps w:val="false"/>
          <w:smallCaps w:val="false"/>
        </w:rPr>
        <w:t> </w:t>
      </w:r>
    </w:p>
    <w:tbl>
      <w:tblPr>
        <w:tblW w:w="7669" w:type="dxa"/>
        <w:jc w:val="left"/>
        <w:tblInd w:w="0" w:type="dxa"/>
        <w:tblLayout w:type="fixed"/>
        <w:tblCellMar>
          <w:top w:w="0" w:type="dxa"/>
          <w:left w:w="0" w:type="dxa"/>
          <w:bottom w:w="0" w:type="dxa"/>
          <w:right w:w="0" w:type="dxa"/>
        </w:tblCellMar>
      </w:tblPr>
      <w:tblGrid>
        <w:gridCol w:w="4085"/>
        <w:gridCol w:w="60"/>
        <w:gridCol w:w="191"/>
        <w:gridCol w:w="581"/>
        <w:gridCol w:w="91"/>
        <w:gridCol w:w="91"/>
        <w:gridCol w:w="191"/>
        <w:gridCol w:w="581"/>
        <w:gridCol w:w="60"/>
        <w:gridCol w:w="60"/>
        <w:gridCol w:w="179"/>
        <w:gridCol w:w="545"/>
        <w:gridCol w:w="85"/>
        <w:gridCol w:w="85"/>
        <w:gridCol w:w="179"/>
        <w:gridCol w:w="545"/>
        <w:gridCol w:w="60"/>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77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millions)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millions) </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management services payments (1)</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6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 management services payments (2)</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6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payments (3)</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Pass through payments to third parties (4)</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6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amount distributed to NFI</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contracted with NFI for transportation management services, which involves the arrangement for the distribution of the Company's goods. This amount represents the payments for management fees associated with this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entered into a master service agreement with NFI for the operations and labor management of our three regional distribution centers. This amount represents the payments to NFI for services rendered under this contract.</w:t>
            </w:r>
          </w:p>
        </w:tc>
      </w:tr>
    </w:tbl>
    <w:p>
      <w:pPr>
        <w:pStyle w:val="TextBody"/>
        <w:bidi w:val="0"/>
        <w:spacing w:before="0" w:after="0"/>
        <w:ind w:left="0" w:right="0" w:firstLine="1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2023, the Company began leasing a regional distribution center in Terrell, Texas that was constructed by, and is owned by, a subsidiary of NFI. This amount represents the lease payments associated with the lease arrangement. At the lease commencement date, $28.7 million was recorded as an operating right-of-use asset, $0.2 million was recorded as a current operating lease liability, and $28.5 million was recorded as a non-current operating lease liability. As of June 27, 2026, $25.7 million was recorded as an operating right-of-use asset, $0.7 million was recorded as a current operating lease liability, and $27.0 million was recorded as a non-current operating lease liability. As of September 27, 2025, $26.5 million was recorded as an operating right-of-use asset, $0.7 million was recorded as a current operating lease liability, and $27.4 million was recorded as a non-current operating lease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amount represents passed through payments to third-party distribution and shipping vendors that are managed on the Company's behalf by NFI.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June 27, 2026, and September 27, 2025, related party trade payables of approximately $4.8 million and $0.6 million, respectively, were recorded as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All agreements with NFI include terms that are consistent with those that we believe would have been negotiated at an arm’s length with an independent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Ken Roshkoff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pays board advisory consulting fees to the husband of our director, Marjorie Roshkoff. In the nine months ended June 27, 2026 and June 28, 2025, the Company paid $26,000 and $38,000 for these board advisory consulting fees, respectively. In the three months ended June 28, 2025, the Company paid $13,000 for these board advisory fees. There were no such payments made in the three months ended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665"/>
        <w:gridCol w:w="143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16</w:t>
            </w:r>
          </w:p>
        </w:tc>
        <w:tc>
          <w:tcPr>
            <w:tcW w:w="14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Reclassifications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Certain prior year financial statements amounts have been reclassified to be consistent with the presentation for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665"/>
        <w:gridCol w:w="239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17</w:t>
            </w:r>
          </w:p>
        </w:tc>
        <w:tc>
          <w:tcPr>
            <w:tcW w:w="23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 programs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February 3, 2025, the Company announced that the Board of Directors authorized a share repurchase program (the 2025 Share Repurchase Program) pursuant to which the Company could repurchase up to $50.0 million of the Company’s common stock, exclusive of any fees, commissions, and other expenses related to such repurchases. Under the 2025 Share Repurchase Program, the Company may repurchase its common stock from time to time, in amounts, at prices, and at such times as the Company deems appropriate, subject to market conditions, legal requirements, and other considerations. The Company’s repurchases may be executed using open market purchases, unsolicited or solicited privately negotiated transactions, or other transactions, and may be affected pursuant to trading plans intended to qualify under Rule 10b5-1 of the Securities Exchange Act of 1934, as amended. The 2025 Share Repurchase Program is effective for two years; however, the 2025 Share Repurchase Program does not obligate the Company to repurchase any specific number of shares and may be suspended, modified or terminated at any time without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June 28, 2025, the Company repurchased 39,061 shares of common stock of the Company at an average price of $128.00 per share on the open market, pursuant to the 2025 Share Repurchase Program. As of the date of the repurchase, the repurchased shares were retired and returned to the status of authorized but unissued shares of common stock. The Company repurchased no shares during the three months ended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December 27, 2025, the Company repurchased 458,467 shares of common stock of the Company at an average price of $91.61 per share on the open market, pursuant to the 2025 Share Repurchase Program. As of the date of the repurchase, the repurchased shares were retired and returned to the status of authorized but unissued shares of common stock. As of December 27, 2025, the Company had fully exhausted its share repurchase ability under the 2025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February 3, 2026, the Company announced that the Board of Directors authorized a new share repurchase program (the “2026 Share Repurchase Program”) pursuant to which the Company could repurchase up to $50.0 million of the Company’s common stock, exclusive of any fees, commissions, and other expenses related to such repurchases. Under the 2026 Share Repurchase Program, the Company may repurchase its common stock from time to time, in amounts, at prices, and at such times as the Company deems appropriate, subject to market conditions, legal requirements, and other considerations. The Company’s repurchases may be executed using open market purchases, unsolicited or solicited privately negotiated transactions, or other transactions, and may be affected pursuant to trading plans intended to qualify under Rule 10b5-1 of the Securities Exchange Act of 1934, as amended. The 2026 Share Repurchase Program is effective for approximately two years, however, the 2026 Share Repurchase Program does not obligate the Company to repurchase any specific number of shares and may be suspended, modified or terminated at any time without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June 27, 2026, the Company repurchased 135,852 shares of common stock of the Company at an average price of $74.04 per share on the open market, pursuant to the 2026 Share Repurchase Program. As of the date of the repurchase, the repurchased shares were retired and returned to the status of authorized but unissued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June 27, 2026, the Company repurchased 854,208 shares of common stock of the Company at an average price of $86.66 per share on the market, which included the 458,467 shares of common stock of the Company that were purchased pursuant to the 2025 Share Repurchase Program during the three months ended December 27, 2025, and an additional 395,741 shares of common stock of the Company that were purchased pursuant to the 2026 Share Repurchase Program. As a result of the Company’s recent stock repurchases, as of June 27, 2026, there remains $18.0 million of share repurchase availability under the 2026 Share Repurchase Program.</w:t>
      </w:r>
    </w:p>
    <w:p>
      <w:pPr>
        <w:pStyle w:val="TextBody"/>
        <w:bidi w:val="0"/>
        <w:spacing w:before="0" w:after="0"/>
        <w:ind w:left="0" w:right="0" w:hanging="0"/>
        <w:jc w:val="left"/>
        <w:rPr>
          <w:caps w:val="false"/>
          <w:smallCaps w:val="false"/>
        </w:rPr>
      </w:pPr>
      <w:r>
        <w:rPr>
          <w:caps w:val="false"/>
          <w:smallCaps w:val="false"/>
        </w:rPr>
        <w:t> </w:t>
      </w:r>
    </w:p>
    <w:tbl>
      <w:tblPr>
        <w:tblW w:w="8956" w:type="dxa"/>
        <w:jc w:val="left"/>
        <w:tblInd w:w="0" w:type="dxa"/>
        <w:tblLayout w:type="fixed"/>
        <w:tblCellMar>
          <w:top w:w="0" w:type="dxa"/>
          <w:left w:w="0" w:type="dxa"/>
          <w:bottom w:w="0" w:type="dxa"/>
          <w:right w:w="0" w:type="dxa"/>
        </w:tblCellMar>
      </w:tblPr>
      <w:tblGrid>
        <w:gridCol w:w="5000"/>
        <w:gridCol w:w="60"/>
        <w:gridCol w:w="207"/>
        <w:gridCol w:w="981"/>
        <w:gridCol w:w="99"/>
        <w:gridCol w:w="99"/>
        <w:gridCol w:w="441"/>
        <w:gridCol w:w="283"/>
        <w:gridCol w:w="60"/>
        <w:gridCol w:w="60"/>
        <w:gridCol w:w="129"/>
        <w:gridCol w:w="612"/>
        <w:gridCol w:w="62"/>
        <w:gridCol w:w="62"/>
        <w:gridCol w:w="129"/>
        <w:gridCol w:w="612"/>
        <w:gridCol w:w="60"/>
      </w:tblGrid>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repurchased (in thousands)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price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74.04</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4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128.00</w:t>
            </w:r>
          </w:p>
        </w:tc>
        <w:tc>
          <w:tcPr>
            <w:tcW w:w="6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(in thousands) including fees and excise tax</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10,159</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4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74,730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665"/>
        <w:gridCol w:w="5405"/>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18</w:t>
            </w:r>
          </w:p>
        </w:tc>
        <w:tc>
          <w:tcPr>
            <w:tcW w:w="54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Manufacturing and Distribution Facility Closures and Disposals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fourth quarter of fiscal 2025, we announced the closure of two manufacturing facilities, our plant in Holly Ridge, North Carolina, and our plant in Atlanta, Georgia. In October 2025, during the first quarter of fiscal 2026, we subsequently announced the closure of a third manufacturing facility, our plant in Colton, California. In March 2026, during the second quarter of fiscal 2026, we made the decision to close a fourth facility, our manufacturing/distribution facility in New York, New York, which subsequently closed in our third fiscal quarter. Production from these facilities has been consolidated into various other facilities across our network, or it was selectively discontinued. This consolidation was enabled by investments we have made in our plants to modernize and expand capacity for our core products, as well as our investments made to build out our three regional distribution 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plant closures, we recorded a net recovery of $(0.2) million in the three months ended June 27, 2026, and a net charge of $10.7 million in the nine months ended June 27, 2026. These costs are reported in the plant closure expenses (recoveries) item within the Operating expenses sections of the Consolidated Statements of Earnings. Included in the results in the three months ended June 27, 2026 are $0.3 million of charges that have resulted or will result in cash outflows, and $(0.5) million of net non-cash recoveries. Included in the results in the nine months ended June 27, 2026 are $6.2 million of charges that have resulted or will result in cash outflows, and $4.5 million of net non-cash charges. No plant closure expenses were recorded in the three or nine months ended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manufacturing facility in Holly Ridge, NC produced handheld products for our Food Service and Retail Supermarket segments and ceased production on July 31, 2025. During the three months ended March 28, 2026, in connection with our plan to actively market and sell the building and land at Holly Ridge, NC, we reclassified $6.3 million of property, plant, and equipment, net, to assets held for sale. We then measured the assets held for sale at the lower of their carrying value or fair value less the estimated costs to sell, and recorded a pre-tax, non-cash impairment charge of $2.0 million during the three months ended March 28, 2026. The remaining $4.3 million of assets held for sale are still reported in the Prepaid expenses and other item, within current assets, on our Consolidated Balance Sheet as of June 27, 2026. We expect to be able to sell the building and land for fair value less the estimated costs to sell, within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There were no plant closure costs for the Holly Ridge facility in the three months ended June 27, 2026. The closure costs for the facility totaled $3.4 million in the nine months ended June 27, 2026, including the $2.0 million impairment charge on assets held-for-sale noted above, and $1.2 million of other exit and disposal costs. These costs are reported in the plant closure expense (recoveries) item of the Consolidated Statements of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manufacturing facility in Atlanta, GA produced bakery and biscuit products for our Food Service and Retail Supermarket segments and ceased production on September 27, 2025. The closure costs for the facility totaled $0.1 million in the three months ended June 27, 2026, and related to inventory write-offs, and other exit and disposal costs. The closure costs for the facility totaled $4.4 million in the nine months ended June 27, 2026, including $2.1 million of other exit and disposal costs, $1.8 million of inventory write-offs, and $0.5 million of severance and benefits costs. These costs are reported in the plant closure expense (recoveries) item of the Consolidated Statements of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manufacturing facility in Colton, CA produced churro products for our Food Service and Retail Supermarket segments and ceased production in the first quarter of fiscal 2026. During the three months ended June 27, 2026, $(0.3) million of net plant closure related recoveries were recorded for the facility, primarily related to a reduced contractual obligation. The net closure costs for the facility totaled $1.8 million in the nine months ended June 27, 2026, including $1.4 million of severance and benefits costs and $0.4 million of other exit and disposal costs. These costs are reported in the plant closure expense (recoveries) item of the Consolidated Statements of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manufacturing and distribution facility in New York, NY produced and distributed soft pretzel products for our Food Service segment and ceased production during the third quarter of our fiscal 2026. During the three months ended June 27, 2026, no net plant closure costs were recorded for the facility, resulting from $0.2 million of other exit and disposals costs, offset by a $0.2 million recovery related to a reduced contractual obligation. The net closure costs for the facility totaled $1.1 million in the nine months ended June 27, 2026, including $0.7 million of right-of-use (“ROU”) asset and long-lived asset impairment charges and $0.2 million of severance and benefits costs and $0.4 million of other exit and disposal costs. These costs are reported in the plant closure expense (recoveries) item of the Consolidated Statements of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reflects our liability related to manufacturing and distribution facility closures as of June 27, 2026 (in thousands):</w:t>
      </w:r>
    </w:p>
    <w:p>
      <w:pPr>
        <w:pStyle w:val="TextBody"/>
        <w:bidi w:val="0"/>
        <w:spacing w:before="0" w:after="0"/>
        <w:ind w:left="0" w:right="0" w:hanging="0"/>
        <w:jc w:val="left"/>
        <w:rPr>
          <w:caps w:val="false"/>
          <w:smallCaps w:val="false"/>
        </w:rPr>
      </w:pPr>
      <w:r>
        <w:rPr>
          <w:caps w:val="false"/>
          <w:smallCaps w:val="false"/>
        </w:rPr>
        <w:t> </w:t>
      </w:r>
    </w:p>
    <w:tbl>
      <w:tblPr>
        <w:tblW w:w="7046" w:type="dxa"/>
        <w:jc w:val="left"/>
        <w:tblInd w:w="0" w:type="dxa"/>
        <w:tblLayout w:type="fixed"/>
        <w:tblCellMar>
          <w:top w:w="0" w:type="dxa"/>
          <w:left w:w="0" w:type="dxa"/>
          <w:bottom w:w="0" w:type="dxa"/>
          <w:right w:w="0" w:type="dxa"/>
        </w:tblCellMar>
      </w:tblPr>
      <w:tblGrid>
        <w:gridCol w:w="2345"/>
        <w:gridCol w:w="60"/>
        <w:gridCol w:w="249"/>
        <w:gridCol w:w="970"/>
        <w:gridCol w:w="60"/>
        <w:gridCol w:w="60"/>
        <w:gridCol w:w="231"/>
        <w:gridCol w:w="898"/>
        <w:gridCol w:w="60"/>
        <w:gridCol w:w="60"/>
        <w:gridCol w:w="210"/>
        <w:gridCol w:w="919"/>
        <w:gridCol w:w="80"/>
        <w:gridCol w:w="60"/>
        <w:gridCol w:w="197"/>
        <w:gridCol w:w="527"/>
        <w:gridCol w:w="6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Plant closure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Plant closure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charges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 benefits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 and disposal costs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665"/>
        <w:gridCol w:w="158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19</w:t>
            </w:r>
          </w:p>
        </w:tc>
        <w:tc>
          <w:tcPr>
            <w:tcW w:w="15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1080" w:right="0" w:hanging="0"/>
        <w:jc w:val="both"/>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July 2026, the Company received correspondence from the insurance carrier handling its Holly Ridge fire-related insurance claim indicating that the carrier had received the required documentation and was in the final stages of processing the final payment to the Company related to this claim. Subsequent to that correspondence, in August 2026, the Company received insurance proceeds of $17.1 million related to the matter. No gain related to this insurance recovery has been recognized as of the date of these financial statements.</w:t>
      </w:r>
    </w:p>
    <w:p>
      <w:pPr>
        <w:pStyle w:val="TextBody"/>
        <w:bidi w:val="0"/>
        <w:spacing w:before="0" w:after="0"/>
        <w:ind w:left="1080" w:right="0" w:hanging="0"/>
        <w:jc w:val="both"/>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Statements made in this Form 10-Q that are not historical or current facts are “forward-looking statements” made pursuant to the safe harbor provisions of Section 27A of the Securities Act of 1933, as amended (the “Securities Act”), and Section 21E of the Securities Exchange Act of 1934, as amended (the “Exchange Act”). These statements discuss goals, intentions and expectations as to future trends, plans, events, results of operations or financial condition, or state other information relating to us, based on our current beliefs as well as assumptions made by us and information currently available to us. Forward-looking statements generally will be accompanied by words such as "anticipate," "if," "may," "believe," "plan,", "goals," "estimate," "expect," "project," "continue," "forecast," "intend," "may," "could," "should," "will," and other similar expressions. Statements addressing our future operating performance and statements addressing events and developments that we expect or anticipate will occur are also considered as forward-looking statements. This includes, without limitation, our statements and expectations regarding any current or future recovery in our industry (or the industries of our customers), the success of new product innovations, and the future impact of our supply chain efficiency projects, including investments in additional production capacity and logistics and warehousing operations. Such forward-looking statements are inherently uncertain, and readers must recognize that actual results may differ materially from the expectations of management. We intend that such forward-looking statements be subject to the safe harbor provisions of the Securities Act and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wish to caution readers not to place undue reliance on any such forward-looking statements, which speak as of the date made. Any forward-looking statements represent management’s best judgment as to what may occur in the future. However, forward-looking statements are subject to risks, uncertainties, and important factors beyond our control that could cause actual results and events to differ materially from historical results of operations and events and those presently anticipated or projected. We disclaim any obligation to revise, update, add or to otherwise correct, any forward-looking statements to reflect events or circumstances after the date of such statement or to reflect the occurrence of anticipated or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Management’s Discussion and Analysis of Financial Condition and Results of Operations is intended to provide readers of our financial statements with a narrative form from the perspective of our management regarding our financial condition and results of operations, liquidity and certain other factors that may affect our future results. The following discussion should be read in conjunction with the consolidated financial statements and accompanying notes included in Part I, Item 1 of this Quarterly Report on Form 10-Q and within the Company’s Annual Report on Form 10-K filed for the fiscal year ended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manufactures and sells snack foods and distributes frozen beverages which it markets nationally to the foodservice and retail supermarket industries. The Company’s principal snack food products are soft pretzels, frozen novelties, churros and bakery products. We believe we are the largest manufacturer of soft pretzels in the United States. Other snack food products include donuts, churros, cookies, funnel cake and handheld products. The Company’s principal frozen beverage products are the ICEE brand frozen carbonated beverage and the SLUSH PUPPIE brand frozen non-carbonated beverage.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Food Service and Frozen Beverage sales are made principally to foodservice customers including snack bar and food stand locations in leading chain, department, discount, warehouse club and convenience stores; malls and shopping centers; fast food and casual dining restaurants; stadiums and sports arenas; leisure and theme parks; movie theaters; independent retailers; and schools, colleges and other institutions. The Company’s Retail Supermarket customers are primarily supermarket chains.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Trends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products are generally sold for discretionary consumption. Our results are impacted by macroeconomic and demographic trends and changes in consumer behavior. The U.S. economy has experienced economic volatility and uncertainty in recent years, which has had, and we expect might continue to have, an impact on consumer behavior. Consumer spending may continue to be impacted by levels of discretionary income and the impact of that on the consumer’s decision-making around their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overall packaging and raw material inflation appears to have moderated during fiscal 2026, uncertainty within the supply chain surrounding impacts from the US government’s tariffs on imports, as well as elevated fuel and freight costs, could continue to be potential headwinds for the Company throughout the remainder of fiscal 2026 and into fiscal 2027. Tariffs and elevated fuel and freight costs may increase the cost of certain raw materials and packaging that we use in our business, as well as increase our distribution costs, and our financial performance may be adversely impacted if we are unable to pass on the cost increases in the form of price increases to our customers. Additionally, the ultimate impact of tariffs may be difficult to predict as tariff rates and duration remain uncertain, which can make our planning process more challenging.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help combat these potential headwinds, we continue to pursue operational improvements, as well as expand growth opportunities across our various channels and customers. Some recent examples of implementing these strategies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recently completed strategic supply chain transformation in which we opened three regional distribution centers which is projected to drive cost reductions around warehousing and distribution costs.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Many examples of successful cross-selling and leveraging our brands across customer channels, including our recent expansion of Dippin’ Dots brand into retail and further into the theater channel.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recently announced transformation program, “Project Apollo,” which is anticipated to generate sustainable efficiencies and cost savings across the enterprise.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above referenced Project Apollo is expected to generate approximately $25 million of run-rate operating income for the initiatives that are expected to be implemented by the end of fiscal 2026. The initial focus of the project is the consolidation and optimization of our manufacturing network. During the fourth quarter of fiscal 2025, we announced the closure of two manufacturing facilities, our plant in Holly Ridge, North Carolina, and our plant in Atlanta, Georgia. In the first quarter of fiscal 2026, we announced the closure of a third manufacturing facility, our plant in Colton, California. During the second quarter of fiscal 2026, we made the decision to close a fourth facility, our manufacturing/distribution facility in New York, New York, which closed as anticipated during our third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from these facilities has been consolidated into various other facilities across our network, or in certain cases, has been discontinued. This consolidation was enabled by investments we have made in our plants to modernize and expand capacity for our core products, as well as our investments made to build out our three regional distribution 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closing of our four facilities, we recorded plant closure costs of approximately $24 million in the fourth quarter of fiscal 2025, and an additional approximately $11 million in the nine months ended June 27, 2026, the majority of which was recorded in our first and second quarters of fiscal 2026. These costs primarily related to non-cash write-downs and write-offs related to inventory and property, plant and equipment, as well as severance and benefit costs and other exit and disposal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plant consolidation, as part of the first phase of Project Apollo, we are continuing to work towards optimally repositioning production within our network, and to streamline our corporate functions, both of which have started to generate savings in fiscal 2026, but for which we anticipate the full run-rate benefit to begin to be seen in fiscal 2027 and beyond.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 xml:space="preserve">RESULTS OF OPERATIONS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Three and nine months ended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discussion provides a review of results for the three and nine months ended June 27, 2026 as compared with the three and nine months ended June 28,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17"/>
        <w:gridCol w:w="60"/>
        <w:gridCol w:w="110"/>
        <w:gridCol w:w="605"/>
        <w:gridCol w:w="80"/>
        <w:gridCol w:w="60"/>
        <w:gridCol w:w="110"/>
        <w:gridCol w:w="605"/>
        <w:gridCol w:w="80"/>
        <w:gridCol w:w="60"/>
        <w:gridCol w:w="81"/>
        <w:gridCol w:w="704"/>
        <w:gridCol w:w="196"/>
        <w:gridCol w:w="60"/>
        <w:gridCol w:w="110"/>
        <w:gridCol w:w="740"/>
        <w:gridCol w:w="80"/>
        <w:gridCol w:w="60"/>
        <w:gridCol w:w="110"/>
        <w:gridCol w:w="740"/>
        <w:gridCol w:w="80"/>
        <w:gridCol w:w="60"/>
        <w:gridCol w:w="97"/>
        <w:gridCol w:w="688"/>
        <w:gridCol w:w="212"/>
      </w:tblGrid>
      <w:tr>
        <w:trPr/>
        <w:tc>
          <w:tcPr>
            <w:tcW w:w="441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Summary of Results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495"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w:t>
            </w:r>
          </w:p>
        </w:tc>
        <w:tc>
          <w:tcPr>
            <w:tcW w:w="1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765"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Nine months ended</w:t>
            </w:r>
          </w:p>
        </w:tc>
        <w:tc>
          <w:tcPr>
            <w:tcW w:w="212" w:type="dxa"/>
            <w:tcBorders/>
            <w:tcMar>
              <w:bottom w:w="0" w:type="dxa"/>
            </w:tcMar>
            <w:vAlign w:val="center"/>
          </w:tcPr>
          <w:p>
            <w:pPr>
              <w:pStyle w:val="TableContents"/>
              <w:bidi w:val="0"/>
              <w:spacing w:before="0" w:after="283"/>
              <w:jc w:val="left"/>
              <w:rPr/>
            </w:pPr>
            <w:r>
              <w:rPr/>
              <w:t> </w:t>
            </w:r>
          </w:p>
        </w:tc>
      </w:tr>
      <w:tr>
        <w:trPr/>
        <w:tc>
          <w:tcPr>
            <w:tcW w:w="44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1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27,</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1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28,</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283"/>
              <w:jc w:val="center"/>
              <w:rPr/>
            </w:pPr>
            <w:r>
              <w:rPr/>
              <w:t> </w:t>
            </w:r>
          </w:p>
        </w:tc>
        <w:tc>
          <w:tcPr>
            <w:tcW w:w="1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5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27,</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5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28,</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88" w:type="dxa"/>
            <w:tcBorders/>
            <w:tcMar>
              <w:bottom w:w="0" w:type="dxa"/>
            </w:tcMar>
            <w:vAlign w:val="center"/>
          </w:tcPr>
          <w:p>
            <w:pPr>
              <w:pStyle w:val="TableContents"/>
              <w:bidi w:val="0"/>
              <w:spacing w:before="0" w:after="283"/>
              <w:jc w:val="center"/>
              <w:rPr/>
            </w:pPr>
            <w:r>
              <w:rPr/>
              <w:t> </w:t>
            </w:r>
          </w:p>
        </w:tc>
        <w:tc>
          <w:tcPr>
            <w:tcW w:w="212" w:type="dxa"/>
            <w:tcBorders/>
            <w:tcMar>
              <w:bottom w:w="0" w:type="dxa"/>
            </w:tcMar>
            <w:vAlign w:val="center"/>
          </w:tcPr>
          <w:p>
            <w:pPr>
              <w:pStyle w:val="TableContents"/>
              <w:bidi w:val="0"/>
              <w:spacing w:before="0" w:after="283"/>
              <w:jc w:val="left"/>
              <w:rPr/>
            </w:pPr>
            <w:r>
              <w:rPr/>
              <w:t> </w:t>
            </w:r>
          </w:p>
        </w:tc>
      </w:tr>
      <w:tr>
        <w:trPr/>
        <w:tc>
          <w:tcPr>
            <w:tcW w:w="44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Change</w:t>
            </w:r>
          </w:p>
        </w:tc>
        <w:tc>
          <w:tcPr>
            <w:tcW w:w="1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Change</w:t>
            </w:r>
          </w:p>
        </w:tc>
        <w:tc>
          <w:tcPr>
            <w:tcW w:w="212" w:type="dxa"/>
            <w:tcBorders/>
            <w:tcMar>
              <w:bottom w:w="0" w:type="dxa"/>
            </w:tcMar>
            <w:vAlign w:val="center"/>
          </w:tcPr>
          <w:p>
            <w:pPr>
              <w:pStyle w:val="TableContents"/>
              <w:bidi w:val="0"/>
              <w:spacing w:before="0" w:after="283"/>
              <w:jc w:val="left"/>
              <w:rPr/>
            </w:pPr>
            <w:r>
              <w:rPr/>
              <w:t> </w:t>
            </w:r>
          </w:p>
        </w:tc>
      </w:tr>
      <w:tr>
        <w:trPr/>
        <w:tc>
          <w:tcPr>
            <w:tcW w:w="44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70" w:type="dxa"/>
            <w:gridSpan w:val="6"/>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283"/>
              <w:jc w:val="center"/>
              <w:rPr/>
            </w:pPr>
            <w:r>
              <w:rPr/>
              <w:t> </w:t>
            </w:r>
          </w:p>
        </w:tc>
        <w:tc>
          <w:tcPr>
            <w:tcW w:w="1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840" w:type="dxa"/>
            <w:gridSpan w:val="6"/>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88" w:type="dxa"/>
            <w:tcBorders/>
            <w:tcMar>
              <w:bottom w:w="0" w:type="dxa"/>
            </w:tcMar>
            <w:vAlign w:val="center"/>
          </w:tcPr>
          <w:p>
            <w:pPr>
              <w:pStyle w:val="TableContents"/>
              <w:bidi w:val="0"/>
              <w:spacing w:before="0" w:after="283"/>
              <w:jc w:val="center"/>
              <w:rPr/>
            </w:pPr>
            <w:r>
              <w:rPr/>
              <w:t> </w:t>
            </w:r>
          </w:p>
        </w:tc>
        <w:tc>
          <w:tcPr>
            <w:tcW w:w="212" w:type="dxa"/>
            <w:tcBorders/>
            <w:tcMar>
              <w:bottom w:w="0" w:type="dxa"/>
            </w:tcMar>
            <w:vAlign w:val="center"/>
          </w:tcPr>
          <w:p>
            <w:pPr>
              <w:pStyle w:val="TableContents"/>
              <w:bidi w:val="0"/>
              <w:spacing w:before="0" w:after="283"/>
              <w:jc w:val="left"/>
              <w:rPr/>
            </w:pPr>
            <w:r>
              <w:rPr/>
              <w:t> </w:t>
            </w:r>
          </w:p>
        </w:tc>
      </w:tr>
      <w:tr>
        <w:trPr/>
        <w:tc>
          <w:tcPr>
            <w:tcW w:w="44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88" w:type="dxa"/>
            <w:tcBorders/>
            <w:tcMar>
              <w:bottom w:w="0" w:type="dxa"/>
            </w:tcMar>
            <w:vAlign w:val="center"/>
          </w:tcPr>
          <w:p>
            <w:pPr>
              <w:pStyle w:val="TableContents"/>
              <w:bidi w:val="0"/>
              <w:spacing w:before="0" w:after="283"/>
              <w:jc w:val="left"/>
              <w:rPr/>
            </w:pPr>
            <w:r>
              <w:rPr/>
              <w:t> </w:t>
            </w:r>
          </w:p>
        </w:tc>
        <w:tc>
          <w:tcPr>
            <w:tcW w:w="212" w:type="dxa"/>
            <w:tcBorders/>
            <w:tcMar>
              <w:bottom w:w="0" w:type="dxa"/>
            </w:tcMar>
            <w:vAlign w:val="center"/>
          </w:tcPr>
          <w:p>
            <w:pPr>
              <w:pStyle w:val="TableContents"/>
              <w:bidi w:val="0"/>
              <w:spacing w:before="0" w:after="283"/>
              <w:jc w:val="left"/>
              <w:rPr/>
            </w:pPr>
            <w:r>
              <w:rPr/>
              <w:t> </w:t>
            </w:r>
          </w:p>
        </w:tc>
      </w:tr>
      <w:tr>
        <w:trPr/>
        <w:tc>
          <w:tcPr>
            <w:tcW w:w="441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425,957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454,293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ind w:left="0" w:right="0" w:hanging="0"/>
              <w:jc w:val="left"/>
              <w:rPr/>
            </w:pPr>
            <w:r>
              <w:rPr/>
              <w:t> </w:t>
            </w:r>
          </w:p>
        </w:tc>
        <w:tc>
          <w:tcPr>
            <w:tcW w:w="70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w:t>
            </w:r>
          </w:p>
        </w:tc>
        <w:tc>
          <w:tcPr>
            <w:tcW w:w="1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1,114,554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1,172,990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r>
      <w:tr>
        <w:trPr/>
        <w:tc>
          <w:tcPr>
            <w:tcW w:w="441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274,941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304,248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ind w:left="0" w:right="0" w:hanging="0"/>
              <w:jc w:val="left"/>
              <w:rPr/>
            </w:pPr>
            <w:r>
              <w:rPr/>
              <w:t> </w:t>
            </w:r>
          </w:p>
        </w:tc>
        <w:tc>
          <w:tcPr>
            <w:tcW w:w="70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w:t>
            </w:r>
          </w:p>
        </w:tc>
        <w:tc>
          <w:tcPr>
            <w:tcW w:w="1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768,234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833,341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151,016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150,045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0.6</w:t>
            </w:r>
          </w:p>
        </w:tc>
        <w:tc>
          <w:tcPr>
            <w:tcW w:w="19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346,320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339,649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6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r>
      <w:tr>
        <w:trPr/>
        <w:tc>
          <w:tcPr>
            <w:tcW w:w="441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r>
      <w:tr>
        <w:trPr/>
        <w:tc>
          <w:tcPr>
            <w:tcW w:w="4417" w:type="dxa"/>
            <w:tcBorders/>
            <w:shd w:fill="CCEEFF" w:val="clear"/>
            <w:tcMar>
              <w:bottom w:w="0" w:type="dxa"/>
            </w:tcM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Marketing and selling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34,627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33,847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ind w:left="0" w:right="0" w:hanging="0"/>
              <w:jc w:val="left"/>
              <w:rPr/>
            </w:pPr>
            <w:r>
              <w:rPr/>
              <w:t> </w:t>
            </w:r>
          </w:p>
        </w:tc>
        <w:tc>
          <w:tcPr>
            <w:tcW w:w="70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w:t>
            </w:r>
          </w:p>
        </w:tc>
        <w:tc>
          <w:tcPr>
            <w:tcW w:w="1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96,209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91,023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Distribution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49,621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44,685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w:t>
            </w:r>
          </w:p>
        </w:tc>
        <w:tc>
          <w:tcPr>
            <w:tcW w:w="19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129,414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126,128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6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20,028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ind w:left="0" w:right="0" w:hanging="0"/>
              <w:jc w:val="left"/>
              <w:rPr/>
            </w:pPr>
            <w:r>
              <w:rPr/>
              <w:t> </w:t>
            </w:r>
          </w:p>
        </w:tc>
        <w:tc>
          <w:tcPr>
            <w:tcW w:w="70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0.2</w:t>
            </w:r>
          </w:p>
        </w:tc>
        <w:tc>
          <w:tcPr>
            <w:tcW w:w="1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61,629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58,685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Intangible asset impairment charges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n.m.</w:t>
            </w:r>
          </w:p>
        </w:tc>
        <w:tc>
          <w:tcPr>
            <w:tcW w:w="1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6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n.m.</w:t>
            </w:r>
          </w:p>
        </w:tc>
        <w:tc>
          <w:tcPr>
            <w:tcW w:w="212" w:type="dxa"/>
            <w:tcBorders/>
            <w:shd w:fill="FFFFFF" w:val="clear"/>
            <w:tcMar>
              <w:bottom w:w="0" w:type="dxa"/>
            </w:tcMar>
            <w:vAlign w:val="center"/>
          </w:tcPr>
          <w:p>
            <w:pPr>
              <w:pStyle w:val="TableContents"/>
              <w:bidi w:val="0"/>
              <w:spacing w:before="0" w:after="283"/>
              <w:jc w:val="left"/>
              <w:rPr/>
            </w:pPr>
            <w:r>
              <w:rPr/>
              <w:t> </w:t>
            </w:r>
          </w:p>
        </w:tc>
      </w:tr>
      <w:tr>
        <w:trPr/>
        <w:tc>
          <w:tcPr>
            <w:tcW w:w="4417"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Gain on insurance proceeds received for damage to property, plant,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n.m.</w:t>
            </w:r>
          </w:p>
        </w:tc>
        <w:tc>
          <w:tcPr>
            <w:tcW w:w="1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n.m.</w:t>
            </w:r>
          </w:p>
        </w:tc>
        <w:tc>
          <w:tcPr>
            <w:tcW w:w="212" w:type="dxa"/>
            <w:tcBorders/>
            <w:shd w:fill="CCEEFF" w:val="clear"/>
            <w:tcMar>
              <w:bottom w:w="0" w:type="dxa"/>
            </w:tcMar>
            <w:vAlign w:val="center"/>
          </w:tcPr>
          <w:p>
            <w:pPr>
              <w:pStyle w:val="TableContents"/>
              <w:bidi w:val="0"/>
              <w:spacing w:before="0" w:after="283"/>
              <w:jc w:val="left"/>
              <w:rPr/>
            </w:pPr>
            <w:r>
              <w:rPr/>
              <w:t> </w:t>
            </w:r>
          </w:p>
        </w:tc>
      </w:tr>
      <w:tr>
        <w:trPr/>
        <w:tc>
          <w:tcPr>
            <w:tcW w:w="4417"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Plant closure expense (recoveries)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n.m.</w:t>
            </w:r>
          </w:p>
        </w:tc>
        <w:tc>
          <w:tcPr>
            <w:tcW w:w="1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n.m.</w:t>
            </w:r>
          </w:p>
        </w:tc>
        <w:tc>
          <w:tcPr>
            <w:tcW w:w="212" w:type="dxa"/>
            <w:tcBorders/>
            <w:shd w:fill="FFFFFF" w:val="clear"/>
            <w:tcMar>
              <w:bottom w:w="0" w:type="dxa"/>
            </w:tcMar>
            <w:vAlign w:val="center"/>
          </w:tcPr>
          <w:p>
            <w:pPr>
              <w:pStyle w:val="TableContents"/>
              <w:bidi w:val="0"/>
              <w:spacing w:before="0" w:after="283"/>
              <w:jc w:val="left"/>
              <w:rPr/>
            </w:pPr>
            <w:r>
              <w:rPr/>
              <w:t> </w:t>
            </w:r>
          </w:p>
        </w:tc>
      </w:tr>
      <w:tr>
        <w:trPr/>
        <w:tc>
          <w:tcPr>
            <w:tcW w:w="4417"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general expense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ind w:left="0" w:right="0" w:hanging="0"/>
              <w:jc w:val="left"/>
              <w:rPr/>
            </w:pPr>
            <w:r>
              <w:rPr/>
              <w:t> </w:t>
            </w:r>
          </w:p>
        </w:tc>
        <w:tc>
          <w:tcPr>
            <w:tcW w:w="70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5710.0</w:t>
            </w:r>
          </w:p>
        </w:tc>
        <w:tc>
          <w:tcPr>
            <w:tcW w:w="1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478.9</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FFFFFF" w:val="clear"/>
            <w:tcMar>
              <w:bottom w:w="0" w:type="dxa"/>
            </w:tcM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104,742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89,448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w:t>
            </w:r>
          </w:p>
        </w:tc>
        <w:tc>
          <w:tcPr>
            <w:tcW w:w="19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297,606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266,790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6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r>
      <w:tr>
        <w:trPr/>
        <w:tc>
          <w:tcPr>
            <w:tcW w:w="441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Operating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46,274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60,597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(23.6</w:t>
            </w:r>
          </w:p>
        </w:tc>
        <w:tc>
          <w:tcPr>
            <w:tcW w:w="19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48,714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72,859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6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(33.1</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r>
      <w:tr>
        <w:trPr/>
        <w:tc>
          <w:tcPr>
            <w:tcW w:w="441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income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r>
      <w:tr>
        <w:trPr/>
        <w:tc>
          <w:tcPr>
            <w:tcW w:w="4417"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Investment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ind w:left="0" w:right="0" w:hanging="0"/>
              <w:jc w:val="left"/>
              <w:rPr/>
            </w:pPr>
            <w:r>
              <w:rPr/>
              <w:t> </w:t>
            </w:r>
          </w:p>
        </w:tc>
        <w:tc>
          <w:tcPr>
            <w:tcW w:w="70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w:t>
            </w:r>
          </w:p>
        </w:tc>
        <w:tc>
          <w:tcPr>
            <w:tcW w:w="1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118.8</w:t>
            </w:r>
          </w:p>
        </w:tc>
        <w:tc>
          <w:tcPr>
            <w:tcW w:w="19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6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90.5</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r>
      <w:tr>
        <w:trPr/>
        <w:tc>
          <w:tcPr>
            <w:tcW w:w="441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Earnings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45,989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60,778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w:t>
            </w:r>
          </w:p>
        </w:tc>
        <w:tc>
          <w:tcPr>
            <w:tcW w:w="19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49,532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74,469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6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r>
      <w:tr>
        <w:trPr/>
        <w:tc>
          <w:tcPr>
            <w:tcW w:w="441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10,657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16,531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(35.5</w:t>
            </w:r>
          </w:p>
        </w:tc>
        <w:tc>
          <w:tcPr>
            <w:tcW w:w="19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11,640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20,255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6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4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r>
      <w:tr>
        <w:trPr/>
        <w:tc>
          <w:tcPr>
            <w:tcW w:w="4417"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EARNINGS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35,332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44,247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w:t>
            </w:r>
          </w:p>
        </w:tc>
        <w:tc>
          <w:tcPr>
            <w:tcW w:w="19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37,892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54,214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6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(30.1</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9119" w:type="dxa"/>
        <w:jc w:val="left"/>
        <w:tblInd w:w="0" w:type="dxa"/>
        <w:tblLayout w:type="fixed"/>
        <w:tblCellMar>
          <w:top w:w="0" w:type="dxa"/>
          <w:left w:w="0" w:type="dxa"/>
          <w:bottom w:w="28" w:type="dxa"/>
          <w:right w:w="0" w:type="dxa"/>
        </w:tblCellMar>
      </w:tblPr>
      <w:tblGrid>
        <w:gridCol w:w="3230"/>
        <w:gridCol w:w="60"/>
        <w:gridCol w:w="101"/>
        <w:gridCol w:w="563"/>
        <w:gridCol w:w="170"/>
        <w:gridCol w:w="60"/>
        <w:gridCol w:w="101"/>
        <w:gridCol w:w="563"/>
        <w:gridCol w:w="170"/>
        <w:gridCol w:w="60"/>
        <w:gridCol w:w="147"/>
        <w:gridCol w:w="862"/>
        <w:gridCol w:w="80"/>
        <w:gridCol w:w="60"/>
        <w:gridCol w:w="101"/>
        <w:gridCol w:w="563"/>
        <w:gridCol w:w="170"/>
        <w:gridCol w:w="60"/>
        <w:gridCol w:w="101"/>
        <w:gridCol w:w="563"/>
        <w:gridCol w:w="170"/>
        <w:gridCol w:w="60"/>
        <w:gridCol w:w="147"/>
        <w:gridCol w:w="862"/>
        <w:gridCol w:w="95"/>
      </w:tblGrid>
      <w:tr>
        <w:trPr/>
        <w:tc>
          <w:tcPr>
            <w:tcW w:w="32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Comparisons as a Percentage of Net Sales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797"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797"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Nine months ended</w:t>
            </w:r>
          </w:p>
        </w:tc>
        <w:tc>
          <w:tcPr>
            <w:tcW w:w="95" w:type="dxa"/>
            <w:tcBorders/>
            <w:tcMar>
              <w:bottom w:w="0" w:type="dxa"/>
            </w:tcMar>
            <w:vAlign w:val="center"/>
          </w:tcPr>
          <w:p>
            <w:pPr>
              <w:pStyle w:val="TableContents"/>
              <w:bidi w:val="0"/>
              <w:spacing w:before="0" w:after="283"/>
              <w:jc w:val="left"/>
              <w:rPr/>
            </w:pPr>
            <w:r>
              <w:rPr/>
              <w:t> </w:t>
            </w:r>
          </w:p>
        </w:tc>
      </w:tr>
      <w:tr>
        <w:trPr/>
        <w:tc>
          <w:tcPr>
            <w:tcW w:w="32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64"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27,</w:t>
            </w:r>
          </w:p>
        </w:tc>
        <w:tc>
          <w:tcPr>
            <w:tcW w:w="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64"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28,</w:t>
            </w:r>
          </w:p>
        </w:tc>
        <w:tc>
          <w:tcPr>
            <w:tcW w:w="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862" w:type="dxa"/>
            <w:tcBorders/>
            <w:tcMar>
              <w:bottom w:w="0" w:type="dxa"/>
            </w:tcMar>
            <w:vAlign w:val="center"/>
          </w:tcPr>
          <w:p>
            <w:pPr>
              <w:pStyle w:val="TableContents"/>
              <w:bidi w:val="0"/>
              <w:spacing w:before="0" w:after="283"/>
              <w:jc w:val="center"/>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64"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27,</w:t>
            </w:r>
          </w:p>
        </w:tc>
        <w:tc>
          <w:tcPr>
            <w:tcW w:w="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64"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28,</w:t>
            </w:r>
          </w:p>
        </w:tc>
        <w:tc>
          <w:tcPr>
            <w:tcW w:w="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862" w:type="dxa"/>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r>
      <w:tr>
        <w:trPr/>
        <w:tc>
          <w:tcPr>
            <w:tcW w:w="32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 Pt Chg</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 Pt Chg</w:t>
            </w:r>
          </w:p>
        </w:tc>
        <w:tc>
          <w:tcPr>
            <w:tcW w:w="95" w:type="dxa"/>
            <w:tcBorders/>
            <w:tcMar>
              <w:bottom w:w="0" w:type="dxa"/>
            </w:tcMar>
            <w:vAlign w:val="center"/>
          </w:tcPr>
          <w:p>
            <w:pPr>
              <w:pStyle w:val="TableContents"/>
              <w:bidi w:val="0"/>
              <w:spacing w:before="0" w:after="283"/>
              <w:jc w:val="left"/>
              <w:rPr/>
            </w:pPr>
            <w:r>
              <w:rPr/>
              <w:t> </w:t>
            </w:r>
          </w:p>
        </w:tc>
      </w:tr>
      <w:tr>
        <w:trPr/>
        <w:tc>
          <w:tcPr>
            <w:tcW w:w="32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35.5</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33.0</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8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31.1</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8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210</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32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Marketing and selling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5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5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86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5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5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86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32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Distribution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8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8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32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5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5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86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5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5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86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32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8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8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2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Earnings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5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5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86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5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5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86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2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8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5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86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decreased by $28.3 million, or 6.2%, to $426.0 million for the three months ended June 27, 2026. Net sales decreased by $58.4 million, or 5.0%, to $1,114.6 million for the nine months ended June 27, 2026. The sales decrease was primarily driven by declines in our Food Service segment, most notably within our bakery portfolio, and the majority of which related to anticipated sales reductions in our bakery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increased by $1.0 million, or 0.6%, to $151.0 million for the three months ended June 27, 2026. As a percentage of sales, gross profit increased from 33.0% to 35.5%. The increase in gross profit as a percentage of sales was largely driven by the benefits of our previously announced plant closures as well as the favorable impact from mix improvements. These favorable tailwinds significantly offset the unfavorable impact of lower sales volumes in our Food Service segment, as well as the higher slotting fees and promotional spend within our Retail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increased by $6.7 million, or 2.0%, to $346.3 million for the nine months ended June 27, 2026. As a percentage of sales, gross profit increased from 29.0% to 31.1%. The increase in gross profit as a percentage of sales was largely driven by the benefits of our previously announced plant closures as well as the favorable impact from mix improvements. These favorable tailwinds significantly offset the unfavorable impact of lower sales volumes in our Food Service segment, as well as the higher slotting fees and promotional spend within our Retail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 increased by $15.3 million, or 17.1%, to $104.7 million for the three months ended June 27, 2026. As a percentage of sales, operating expenses increased from 19.7% to 24.6%. Operating expenses in the prior year included the benefit of a $10.6 million gain on insurance proceeds received for damage to property, plant and equipment, related to the fire at our Holly Ridge plant, offset slightly by the $1.5 million intangible asset impairment charge. The net of those two items reduced prior year operating expenses as a percentage of sales by approximately 200 bps.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remaining increase in operating expenses for the three months ended June 27, 2026 primarily related to higher distribution expenses, mostly driven by elevated fuel costs due to rising oil prices and higher freight rates resulting from the constrained capacity due to regulatory and legislative changes. As a percentage of sales, distribution expenses increased from 9.8% to 11.6% and from $44.7 million to $49.6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percentage of sales, marketing and selling expenses increased from 7.5% to 8.1% and from $33.8 million to $34.6 million in the three months ended June 27, 2026, with the increase primarily attributable to increased commission costs on retail vending sales, increased spend on sponsorships, brand support and other promotional activities, and higher depreciation for customer equipment for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percentage of sales, general and administrative expenses increased from 4.4% to 4.7% and from $20.0 million to $20.1 million in the three months ended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 increased by $30.8 million, or 11.6%, to $297.6 million for the nine months ended June 27, 2026. As a percentage of sales, operating expenses increased from 22.7% to 26.7%. Operating expenses in the nine months ended June 27, 2026 included $10.7 million of plant closure expenses and a partly offsetting $0.8 million gain on insurance proceeds received for damage to property, plant, and equipment. The net impact of these items increased operating expenses as a percentage of sales in the nine months ended June 27, 2026 by approximately 90 bps. Additionally, operating expenses in the nine months ended June 28, 2025 included a benefit of a $10.6 million gain on insurance proceeds received for damage to property, plant and equipment, related to the fire at our Holly Ridge plant, offset slightly by the $1.5 million intangible asset impairment charge. The net of the two items reduced operating expenses as a percentage of sales in the nine months ended June 28, 2025 by approximately 80 bps.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remaining increase in operating expenses in the nine months ended June 27, 2026 was driven by increases in marketing and selling expenses, distribution expenses, and general and administrative expenses. As a percentage of sales, marketing and selling expenses increased from 7.8% to 8.6% and from $91.0 million to $96.2 million in the nine months ended June 27, 2026, with the increase primarily attributable to increased commission costs on retail vending sales, increased spend on sponsorships, brand support and other promotional activities, and higher depreciation for customer equipment for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percentage of sales, distribution expenses increased from 10.8% to 11.6%, and from $126.1 million to $129.4 million in the nine months ended June 27, 2026, with the increase primarily attributable to elevated fuel costs due to rising oil prices and higher freight rates resulting from the constrained capacity due to regulatory and legislative changes, which were incurred predominantly in the three months ended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percentage of sales, general and administrative expenses increased from 5.0% to 5.5% and from $58.7 million to $61.6 million in the nine months ended June 27, 2026. The increase was most significantly driven by non-recurring restructuring and legal expenses incurred during the first and second quarters in fiscal 2026.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Other Income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income increased slightly from $0.6 million to $0.7 million for the three months ended June 27, 2026, but decreased slightly from $2.3 million to $2.2 million for the nine months ended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increased from $0.4 million to $1.0 million for the three months ended June 27, 2026, and from $0.7 million to $1.4 million for the nine months ended June 27, 2026, respectively, due to the increase in the Company’s average outstanding borrowings under the Credit Agreement for the three and nine- month periods ended June 27, 2026, as compared to the prior year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effective tax rate decreased from 27.2% to 23.2% and from 27.2% to 23.5% for the three and nine months ended June 27, 2026, respectively. The decrease in rate between periods was primarily attributable to a change in the blended state tax rate between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decreased by $8.9 million, or 20.1%, for the three months ended June 27, 2026, due to the aforementioned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decreased by $16.3 million, or 30.1%, for the nine months ended June 27, 2026, due to the aforementioned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many factors which can impact our net earnings from year to year and in the long run, among which are the supply and cost of raw materials and labor, insurance costs, factors impacting sales as noted above, the continuing consolidation of our customers, our ability to manage our manufacturing, marketing and distribution activities, our ability to make and integrate acquisitions and changes in tax laws and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Segment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operate in three segments: Food Service, Retail Supermarket, and Frozen Beverages. The following table is a summary of sales and operating income, which is how we measure segment profit.</w:t>
      </w:r>
    </w:p>
    <w:p>
      <w:pPr>
        <w:pStyle w:val="TextBody"/>
        <w:bidi w:val="0"/>
        <w:spacing w:before="0" w:after="0"/>
        <w:ind w:left="0" w:right="0" w:hanging="0"/>
        <w:jc w:val="left"/>
        <w:rPr>
          <w:caps w:val="false"/>
          <w:smallCaps w:val="false"/>
        </w:rPr>
      </w:pPr>
      <w:r>
        <w:rPr>
          <w:caps w:val="false"/>
          <w:smallCaps w:val="false"/>
        </w:rPr>
        <w:t> </w:t>
      </w:r>
    </w:p>
    <w:tbl>
      <w:tblPr>
        <w:tblW w:w="8648" w:type="dxa"/>
        <w:jc w:val="left"/>
        <w:tblInd w:w="0" w:type="dxa"/>
        <w:tblLayout w:type="fixed"/>
        <w:tblCellMar>
          <w:top w:w="0" w:type="dxa"/>
          <w:left w:w="0" w:type="dxa"/>
          <w:bottom w:w="0" w:type="dxa"/>
          <w:right w:w="0" w:type="dxa"/>
        </w:tblCellMar>
      </w:tblPr>
      <w:tblGrid>
        <w:gridCol w:w="1580"/>
        <w:gridCol w:w="60"/>
        <w:gridCol w:w="181"/>
        <w:gridCol w:w="1008"/>
        <w:gridCol w:w="60"/>
        <w:gridCol w:w="60"/>
        <w:gridCol w:w="125"/>
        <w:gridCol w:w="695"/>
        <w:gridCol w:w="60"/>
        <w:gridCol w:w="60"/>
        <w:gridCol w:w="137"/>
        <w:gridCol w:w="768"/>
        <w:gridCol w:w="245"/>
        <w:gridCol w:w="60"/>
        <w:gridCol w:w="153"/>
        <w:gridCol w:w="1036"/>
        <w:gridCol w:w="60"/>
        <w:gridCol w:w="60"/>
        <w:gridCol w:w="125"/>
        <w:gridCol w:w="845"/>
        <w:gridCol w:w="60"/>
        <w:gridCol w:w="60"/>
        <w:gridCol w:w="137"/>
        <w:gridCol w:w="768"/>
        <w:gridCol w:w="245"/>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5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0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85"/>
        <w:gridCol w:w="60"/>
        <w:gridCol w:w="125"/>
        <w:gridCol w:w="594"/>
        <w:gridCol w:w="80"/>
        <w:gridCol w:w="60"/>
        <w:gridCol w:w="125"/>
        <w:gridCol w:w="594"/>
        <w:gridCol w:w="80"/>
        <w:gridCol w:w="60"/>
        <w:gridCol w:w="108"/>
        <w:gridCol w:w="797"/>
        <w:gridCol w:w="219"/>
        <w:gridCol w:w="60"/>
        <w:gridCol w:w="125"/>
        <w:gridCol w:w="650"/>
        <w:gridCol w:w="80"/>
        <w:gridCol w:w="60"/>
        <w:gridCol w:w="125"/>
        <w:gridCol w:w="650"/>
        <w:gridCol w:w="80"/>
        <w:gridCol w:w="60"/>
        <w:gridCol w:w="108"/>
        <w:gridCol w:w="797"/>
        <w:gridCol w:w="223"/>
      </w:tblGrid>
      <w:tr>
        <w:trPr/>
        <w:tc>
          <w:tcPr>
            <w:tcW w:w="4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3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23" w:type="dxa"/>
            <w:tcBorders/>
            <w:vAlign w:val="center"/>
          </w:tcPr>
          <w:p>
            <w:pPr>
              <w:pStyle w:val="TableContents"/>
              <w:bidi w:val="0"/>
              <w:spacing w:before="0" w:after="283"/>
              <w:jc w:val="left"/>
              <w:rPr/>
            </w:pPr>
            <w:r>
              <w:rPr/>
              <w:t> </w:t>
            </w:r>
          </w:p>
        </w:tc>
      </w:tr>
      <w:tr>
        <w:trPr/>
        <w:tc>
          <w:tcPr>
            <w:tcW w:w="4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23" w:type="dxa"/>
            <w:tcBorders/>
            <w:vAlign w:val="center"/>
          </w:tcPr>
          <w:p>
            <w:pPr>
              <w:pStyle w:val="TableContents"/>
              <w:bidi w:val="0"/>
              <w:spacing w:before="0" w:after="283"/>
              <w:jc w:val="left"/>
              <w:rPr/>
            </w:pPr>
            <w:r>
              <w:rPr/>
              <w:t> </w:t>
            </w:r>
          </w:p>
        </w:tc>
      </w:tr>
      <w:tr>
        <w:trPr/>
        <w:tc>
          <w:tcPr>
            <w:tcW w:w="4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23" w:type="dxa"/>
            <w:tcBorders/>
            <w:vAlign w:val="center"/>
          </w:tcPr>
          <w:p>
            <w:pPr>
              <w:pStyle w:val="TableContents"/>
              <w:bidi w:val="0"/>
              <w:spacing w:before="0" w:after="283"/>
              <w:jc w:val="left"/>
              <w:rPr/>
            </w:pPr>
            <w:r>
              <w:rPr/>
              <w:t> </w:t>
            </w:r>
          </w:p>
        </w:tc>
      </w:tr>
      <w:tr>
        <w:trPr/>
        <w:tc>
          <w:tcPr>
            <w:tcW w:w="4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23" w:type="dxa"/>
            <w:tcBorders/>
            <w:vAlign w:val="center"/>
          </w:tcPr>
          <w:p>
            <w:pPr>
              <w:pStyle w:val="TableContents"/>
              <w:bidi w:val="0"/>
              <w:spacing w:before="0" w:after="283"/>
              <w:jc w:val="left"/>
              <w:rPr/>
            </w:pPr>
            <w:r>
              <w:rPr/>
              <w:t> </w:t>
            </w:r>
          </w:p>
        </w:tc>
      </w:tr>
      <w:tr>
        <w:trPr/>
        <w:tc>
          <w:tcPr>
            <w:tcW w:w="4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r>
      <w:tr>
        <w:trPr/>
        <w:tc>
          <w:tcPr>
            <w:tcW w:w="4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r>
      <w:tr>
        <w:trPr/>
        <w:tc>
          <w:tcPr>
            <w:tcW w:w="4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2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 impairment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23" w:type="dxa"/>
            <w:tcBorders/>
            <w:shd w:fill="FFFFFF" w:val="clear"/>
            <w:vAlign w:val="center"/>
          </w:tcPr>
          <w:p>
            <w:pPr>
              <w:pStyle w:val="TableContents"/>
              <w:bidi w:val="0"/>
              <w:spacing w:before="0" w:after="283"/>
              <w:jc w:val="left"/>
              <w:rPr/>
            </w:pPr>
            <w:r>
              <w:rPr/>
              <w:t> </w:t>
            </w:r>
          </w:p>
        </w:tc>
      </w:tr>
      <w:tr>
        <w:trPr/>
        <w:tc>
          <w:tcPr>
            <w:tcW w:w="4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23" w:type="dxa"/>
            <w:tcBorders/>
            <w:shd w:fill="CCEEFF" w:val="clear"/>
            <w:vAlign w:val="center"/>
          </w:tcPr>
          <w:p>
            <w:pPr>
              <w:pStyle w:val="TableContents"/>
              <w:bidi w:val="0"/>
              <w:spacing w:before="0" w:after="283"/>
              <w:jc w:val="left"/>
              <w:rPr/>
            </w:pPr>
            <w:r>
              <w:rPr/>
              <w:t> </w:t>
            </w:r>
          </w:p>
        </w:tc>
      </w:tr>
      <w:tr>
        <w:trPr/>
        <w:tc>
          <w:tcPr>
            <w:tcW w:w="4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closure (expense) recoveries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Food Service Segment Results</w:t>
      </w:r>
    </w:p>
    <w:p>
      <w:pPr>
        <w:pStyle w:val="TextBody"/>
        <w:bidi w:val="0"/>
        <w:spacing w:before="0" w:after="0"/>
        <w:ind w:left="0" w:right="0" w:hanging="0"/>
        <w:jc w:val="left"/>
        <w:rPr>
          <w:caps w:val="false"/>
          <w:smallCaps w:val="false"/>
        </w:rPr>
      </w:pPr>
      <w:r>
        <w:rPr>
          <w:caps w:val="false"/>
          <w:smallCaps w:val="false"/>
        </w:rPr>
        <w:t> </w:t>
      </w:r>
    </w:p>
    <w:tbl>
      <w:tblPr>
        <w:tblW w:w="9470" w:type="dxa"/>
        <w:jc w:val="left"/>
        <w:tblInd w:w="0" w:type="dxa"/>
        <w:tblLayout w:type="fixed"/>
        <w:tblCellMar>
          <w:top w:w="0" w:type="dxa"/>
          <w:left w:w="0" w:type="dxa"/>
          <w:bottom w:w="0" w:type="dxa"/>
          <w:right w:w="0" w:type="dxa"/>
        </w:tblCellMar>
      </w:tblPr>
      <w:tblGrid>
        <w:gridCol w:w="3290"/>
        <w:gridCol w:w="60"/>
        <w:gridCol w:w="125"/>
        <w:gridCol w:w="695"/>
        <w:gridCol w:w="60"/>
        <w:gridCol w:w="60"/>
        <w:gridCol w:w="125"/>
        <w:gridCol w:w="695"/>
        <w:gridCol w:w="60"/>
        <w:gridCol w:w="60"/>
        <w:gridCol w:w="137"/>
        <w:gridCol w:w="768"/>
        <w:gridCol w:w="245"/>
        <w:gridCol w:w="60"/>
        <w:gridCol w:w="125"/>
        <w:gridCol w:w="695"/>
        <w:gridCol w:w="60"/>
        <w:gridCol w:w="60"/>
        <w:gridCol w:w="125"/>
        <w:gridCol w:w="695"/>
        <w:gridCol w:w="60"/>
        <w:gridCol w:w="60"/>
        <w:gridCol w:w="123"/>
        <w:gridCol w:w="782"/>
        <w:gridCol w:w="24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food service customers decreased $22.9 million, or 8.3%, to $254.3 million for the three months ended June 27, 2026. The largest driver of the decrease was bakery product sales, which decreased by 19%, with the decrease largely attributable to the anticipated sales reductions in our bakery business. Additionally, sales of handhelds decreased by 16%, with the decrease attributable to lower comparative volumes, as well as contractual pricing true-ups on the lower costing of certain raw material ingredients. The decrease in sales within those two product categories was offset slightly by modest growth within our soft pretzel and churro product categories.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new products in the first twelve months since their introduction were minimal for the three months ended June 27, 2026. Low-single digit net pricing increases were more than offset by the net volume declines, primarily attributable to the anticipated sales reductions in our bakery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Food Service segment increased $0.2 million, or 0.7%, to $28.1 million for the three months ended June 27, 2026, which reflected the efficiencies and benefits of the optimization of our manufacturing footprint as well as mix improvements across the portfolio more than offsetting the lower comparative sales volumes.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food service customers decreased $54.0 million, or 7.3%, to $688.1 million for the nine months ended June 27, 2026. The largest driver of the decrease was bakery product sales, which decreased by 17%, with the decrease largely attributable to the anticipated sales reductions in our bakery business. Additionally, sales of handhelds decreased by 18%, with the decrease attributable to lower comparative volumes on our core handhelds, as well as contractual pricing true-ups on the lower costing of certain raw material ingredients. Somewhat offsetting these decreases were soft pretzel sales to foodservice customers, which increased by 6%, with the increase largely attributable to volume increases seen within the category on our key brands, a continuation of the trend seen in the second half of our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new products in the first twelve months since their introduction were minimal for the nine months ended June 27, 2026. Low-single digit net pricing increases were more than offset by the net volume declines, primarily attributable to the anticipated sales reductions in our bakery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Food Service segment increased $4.9 million, or 11.0% to $49.0 million for the nine months ended June 27, 2026, which reflected the efficiencies and benefits of the optimization of our manufacturing footprint seen within gross profit, as well as mix improvements across the portfolio, which more than offset the lower comparative sales volumes.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Retail Supermarket Segment Results</w:t>
      </w:r>
    </w:p>
    <w:p>
      <w:pPr>
        <w:pStyle w:val="TextBody"/>
        <w:bidi w:val="0"/>
        <w:spacing w:before="0" w:after="0"/>
        <w:ind w:left="0" w:right="0" w:hanging="0"/>
        <w:jc w:val="left"/>
        <w:rPr>
          <w:caps w:val="false"/>
          <w:smallCaps w:val="false"/>
        </w:rPr>
      </w:pPr>
      <w:r>
        <w:rPr>
          <w:caps w:val="false"/>
          <w:smallCaps w:val="false"/>
        </w:rPr>
        <w:t> </w:t>
      </w:r>
    </w:p>
    <w:tbl>
      <w:tblPr>
        <w:tblW w:w="9803" w:type="dxa"/>
        <w:jc w:val="left"/>
        <w:tblInd w:w="0" w:type="dxa"/>
        <w:tblLayout w:type="fixed"/>
        <w:tblCellMar>
          <w:top w:w="0" w:type="dxa"/>
          <w:left w:w="0" w:type="dxa"/>
          <w:bottom w:w="0" w:type="dxa"/>
          <w:right w:w="0" w:type="dxa"/>
        </w:tblCellMar>
      </w:tblPr>
      <w:tblGrid>
        <w:gridCol w:w="3800"/>
        <w:gridCol w:w="60"/>
        <w:gridCol w:w="126"/>
        <w:gridCol w:w="598"/>
        <w:gridCol w:w="60"/>
        <w:gridCol w:w="60"/>
        <w:gridCol w:w="126"/>
        <w:gridCol w:w="598"/>
        <w:gridCol w:w="60"/>
        <w:gridCol w:w="60"/>
        <w:gridCol w:w="108"/>
        <w:gridCol w:w="797"/>
        <w:gridCol w:w="245"/>
        <w:gridCol w:w="60"/>
        <w:gridCol w:w="125"/>
        <w:gridCol w:w="695"/>
        <w:gridCol w:w="60"/>
        <w:gridCol w:w="60"/>
        <w:gridCol w:w="125"/>
        <w:gridCol w:w="695"/>
        <w:gridCol w:w="60"/>
        <w:gridCol w:w="60"/>
        <w:gridCol w:w="108"/>
        <w:gridCol w:w="797"/>
        <w:gridCol w:w="26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6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6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products to retail customers increased $1.1 million, or 1.7%, to $64.9 million for the three months ended June 27, 2026. The net increase was primarily attributable to volume increases seen across the majority of our retail product categories, offset somewhat by the comparative increased slotting fees and promotional spend, primarily within the frozen novelties category. Sales of new products in retail supermarkets were approximately $2.4 million in the three months ended June 27, 2026, driven by the launch of new frozen novelties products. Sales in the quarter were impacted by the higher slotting fees and promotional spend, which drove high-single digit negative net pricing and mostly offset the volume increases across the retail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Retail Supermarket segment decreased $3.5 million in the three months ended June 27, 2026, primarily driven by the impact of the higher comparative slotting fees and promotional spend within the frozen novelties category, along with the impact of product mix on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products to retail customers remained materially flat at $162.4 million for the nine months ended June 27, 2026, with the volume increases across the majority of retail product categories offset by the increased slotting fees and promotional spend. Sales of new products in retail supermarkets were approximately $2.9 million in the nine months ended June 27, 2026, driven by the launch of new frozen novelties products. Sales in the nine-month period were impacted by the higher slotting fees and promotional spend, which drove mid-single digit negative net pricing and mostly offset the volume increases across the retail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Retail Supermarket segment decreased $7.5 million, or 68.5%, to $3.4 million in the nine months ended June 27, 2026, primarily driven by the impact of the higher comparative slotting fees and promotional spend within the frozen novelties category, along with the impact of product mix on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Frozen Beverages Segment Results</w:t>
      </w:r>
    </w:p>
    <w:p>
      <w:pPr>
        <w:pStyle w:val="TextBody"/>
        <w:bidi w:val="0"/>
        <w:spacing w:before="0" w:after="0"/>
        <w:ind w:left="0" w:right="0" w:hanging="0"/>
        <w:jc w:val="left"/>
        <w:rPr>
          <w:caps w:val="false"/>
          <w:smallCaps w:val="false"/>
        </w:rPr>
      </w:pPr>
      <w:r>
        <w:rPr>
          <w:caps w:val="false"/>
          <w:smallCaps w:val="false"/>
        </w:rPr>
        <w:t> </w:t>
      </w:r>
    </w:p>
    <w:tbl>
      <w:tblPr>
        <w:tblW w:w="9845" w:type="dxa"/>
        <w:jc w:val="left"/>
        <w:tblInd w:w="0" w:type="dxa"/>
        <w:tblLayout w:type="fixed"/>
        <w:tblCellMar>
          <w:top w:w="0" w:type="dxa"/>
          <w:left w:w="0" w:type="dxa"/>
          <w:bottom w:w="0" w:type="dxa"/>
          <w:right w:w="0" w:type="dxa"/>
        </w:tblCellMar>
      </w:tblPr>
      <w:tblGrid>
        <w:gridCol w:w="3665"/>
        <w:gridCol w:w="60"/>
        <w:gridCol w:w="125"/>
        <w:gridCol w:w="695"/>
        <w:gridCol w:w="60"/>
        <w:gridCol w:w="60"/>
        <w:gridCol w:w="125"/>
        <w:gridCol w:w="695"/>
        <w:gridCol w:w="60"/>
        <w:gridCol w:w="60"/>
        <w:gridCol w:w="137"/>
        <w:gridCol w:w="768"/>
        <w:gridCol w:w="245"/>
        <w:gridCol w:w="60"/>
        <w:gridCol w:w="125"/>
        <w:gridCol w:w="695"/>
        <w:gridCol w:w="60"/>
        <w:gridCol w:w="60"/>
        <w:gridCol w:w="125"/>
        <w:gridCol w:w="695"/>
        <w:gridCol w:w="60"/>
        <w:gridCol w:w="60"/>
        <w:gridCol w:w="137"/>
        <w:gridCol w:w="768"/>
        <w:gridCol w:w="24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Frozen beverage and related product sales decreased $6.5 million, or 5.8%, in the three months ended June 27, 2026. Beverage sales increased 6% to $75.3 million, with the increase driven by a strong performance in our theater and mass merchandising channels. Gallon sales increased approximately 7% for the three months ended June 27, 2026. Service revenue decreased 14% to $21.0 million due to weakness in demand related to customer decisions to insource their maintenance. Machine revenue (primarily sales of frozen beverage machines) decreased 43% to $9.6 million, primarily the result of the lapping of the impact of a major convenience customer that had updated its equipment across its store network in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Frozen Beverage segment decreased $0.9 million in the quarter to $22.8 million, as the decrease in service revenue and machine revenue more than offset the strong beverage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Frozen beverage and related product sales decreased $4.5 million, or 1.7% in the nine months ended June 27, 2026. Beverage sales increased 6% to $166.9 million with the increase driven by strong performance in our theater channel, combined with pricing increases, a favorable sales mix and some foreign exchange-related tailwinds. Gallon sales increased approximately 2% for the nine months ended June 27, 2026. Service revenue decreased 11% to $64.5 million due to weakness in demand related to customer decisions to insource their maintenance, as well as slower restaurant traffic. Machine revenue (primarily sales of frozen beverage machines) decreased 17% to $30.3 million, primarily the result of the lapping of the impact of a major convenience customer that had updated its equipment across its store network in the prior year third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Frozen Beverage segment increased $0.6 million in the nine months ended June 27, 2026 to $31.5 million, as strong beverage sales positively impacted leverage across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there are many factors that could impact our operating cash flow, most notably net earnings, we believe that our future operating cash flow, along with our borrowing capacity, our current cash and cash equivalent balances and our investment securities is sufficient to satisfy our cash requirements over the next twelve months and beyond, as well as to fund future growth and expansion.</w:t>
      </w:r>
    </w:p>
    <w:p>
      <w:pPr>
        <w:pStyle w:val="TextBody"/>
        <w:bidi w:val="0"/>
        <w:spacing w:before="0" w:after="0"/>
        <w:ind w:left="0" w:right="0" w:hanging="0"/>
        <w:jc w:val="left"/>
        <w:rPr>
          <w:caps w:val="false"/>
          <w:smallCaps w:val="false"/>
        </w:rPr>
      </w:pPr>
      <w:r>
        <w:rPr>
          <w:caps w:val="false"/>
          <w:smallCaps w:val="false"/>
        </w:rPr>
        <w:t> </w:t>
      </w:r>
    </w:p>
    <w:tbl>
      <w:tblPr>
        <w:tblW w:w="8570" w:type="dxa"/>
        <w:jc w:val="left"/>
        <w:tblInd w:w="0" w:type="dxa"/>
        <w:tblLayout w:type="fixed"/>
        <w:tblCellMar>
          <w:top w:w="0" w:type="dxa"/>
          <w:left w:w="0" w:type="dxa"/>
          <w:bottom w:w="0" w:type="dxa"/>
          <w:right w:w="0" w:type="dxa"/>
        </w:tblCellMar>
      </w:tblPr>
      <w:tblGrid>
        <w:gridCol w:w="6695"/>
        <w:gridCol w:w="60"/>
        <w:gridCol w:w="125"/>
        <w:gridCol w:w="695"/>
        <w:gridCol w:w="80"/>
        <w:gridCol w:w="60"/>
        <w:gridCol w:w="125"/>
        <w:gridCol w:w="650"/>
        <w:gridCol w:w="80"/>
      </w:tblGrid>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items in 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fixed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48,296</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 and deferred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5,871</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impairment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Losses (Gains) from disposals of property &amp;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plant closure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impairment charge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in excess of operating losses recognized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net of effects from purchase of companies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98,697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60"/>
        <w:gridCol w:w="170"/>
        <w:gridCol w:w="8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on insurance proceeds received related to insurance recoveries related to the Holly Ridge fire claim.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net cash outflow of $4.7 million in cash flows associated with changes in assets and liabilities, net of effects from purchase of companies, in the nine months ended June 27, 2026, was primarily driven by largely offsetting impacts across working capital categories, including a $26.0 million increase in accounts receivable offset somewhat by a net $19.1 million cash inflow attributable to other operating assets and liabilities, and a $2.3 million decrease in inventories. In the prior year, the net cash outflow of $4.3 million was primarily driven by largely offsetting impacts across working capital categories, including a $21.6 million increase in inventories, a $16.5 million increase in accounts receivable, and a net $33.8 million cash inflow attributable to other operating assets and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15" w:type="dxa"/>
        <w:jc w:val="left"/>
        <w:tblInd w:w="0" w:type="dxa"/>
        <w:tblLayout w:type="fixed"/>
        <w:tblCellMar>
          <w:top w:w="0" w:type="dxa"/>
          <w:left w:w="0" w:type="dxa"/>
          <w:bottom w:w="0" w:type="dxa"/>
          <w:right w:w="0" w:type="dxa"/>
        </w:tblCellMar>
      </w:tblPr>
      <w:tblGrid>
        <w:gridCol w:w="4085"/>
        <w:gridCol w:w="60"/>
        <w:gridCol w:w="125"/>
        <w:gridCol w:w="650"/>
        <w:gridCol w:w="80"/>
        <w:gridCol w:w="60"/>
        <w:gridCol w:w="125"/>
        <w:gridCol w:w="650"/>
        <w:gridCol w:w="80"/>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w:t>
            </w:r>
          </w:p>
        </w:tc>
        <w:tc>
          <w:tcPr>
            <w:tcW w:w="8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insurance for fixed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11,421</w:t>
            </w:r>
          </w:p>
        </w:tc>
        <w:tc>
          <w:tcPr>
            <w:tcW w:w="8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plant and equipment include spending for production growth, in addition to acquiring new equipment, infrastructure replacements, and upgrades to maintain competitive standing and position us for future opportunities.</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170"/>
        <w:gridCol w:w="8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insurance for fixed assets related to insurance recoveries related to the Holly Ridge fire claim.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75" w:type="dxa"/>
        <w:jc w:val="left"/>
        <w:tblInd w:w="0" w:type="dxa"/>
        <w:tblLayout w:type="fixed"/>
        <w:tblCellMar>
          <w:top w:w="0" w:type="dxa"/>
          <w:left w:w="0" w:type="dxa"/>
          <w:bottom w:w="0" w:type="dxa"/>
          <w:right w:w="0" w:type="dxa"/>
        </w:tblCellMar>
      </w:tblPr>
      <w:tblGrid>
        <w:gridCol w:w="6200"/>
        <w:gridCol w:w="60"/>
        <w:gridCol w:w="125"/>
        <w:gridCol w:w="695"/>
        <w:gridCol w:w="80"/>
        <w:gridCol w:w="60"/>
        <w:gridCol w:w="125"/>
        <w:gridCol w:w="650"/>
        <w:gridCol w:w="80"/>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repurchase common stock</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3,104</w:t>
            </w:r>
          </w:p>
        </w:tc>
        <w:tc>
          <w:tcPr>
            <w:tcW w:w="80"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vested employee service share units and performance share units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80"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credit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debt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During the nine months ended June 27, 2026, the Company repurchased 854,208 shares of common stock of the Company at an average price of $86.66 per share on the open market, pursuant to the 2025 and 2026 Share Repurchase Programs. During the nine months ended June 28, 2025, the Company repurchased 39,061 shares of common stock of the Company at an average price of $128.00 per share on the open market, pursuant to the 2025 Share Repurchase Program.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stock decreased in the nine months ended June 27, 2026 as no stock options were exercised in the period as the Company began to issue service share units and performance units as forms of stock-based compensation in recent years.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credit facility and repayment of borrowings under credit facility relate to the Company’s cash draws and repayments made to primarily fund working capital needs.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slight increase in payment of cash dividends from prior year period was due to the raising of our quarterly dividend during fiscal 2025, somewhat offset by a decrease in outstanding share count due to the share repurchases.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27, 2026, we had $63.1 million of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2021, the Company entered into an amended and restated loan agreement (as amended, the “Credit Agreement”) with our existing banks which provided for up to a $50 million revolving credit facility repayable in December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21, 2022, the Company entered into an amendment to the Credit Agreement, (“Amendment No. 1”), which provided for an incremental increase of $175 million in available borrowings under the revolving credit facility. Amendment No. 1 also included an option to increase the size of the revolving credit facility by up to an amount not to exceed in the aggregate the greater of $225 million or, $50 million plus the Consolidated EBITDA (as defined in the Credit Agreement) of the Borrowers (as defined in the Credit Agreement), subject to the satisfaction of certain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5, 2026, the Company entered into Amendment No. 2 to the Credit Agreement (“Amendment No. 2”). Amendment No. 2 maintained the existing $225 million revolving credit facility capacity, extended the maturity date of the revolving credit facility established under the Credit Agreement to June 2031, and revised the pricing grid used to determine the Applicable Margin (as defined in the Credit Agreement). Amendment No. 2 also included an option to increase the size of the revolving credit facility by up to an amount not to exceed the greater of $200 million or the Consolidated EBITDA of the Borrowers, subject to the satisfaction of certain terms and conditions.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accrues, at the Company’s election at (i) the SOFR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SOFR Rate, plus an applicable margin). The Alternate Base Rate is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June 27, 2026, the Company is in compliance with all financial covenants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27, 2026, $28.0 million was outstanding under the Amended Credit Agreement with a weighted average interest rate of 5.64%. As of June 27, 2026, the amount available under the Amended Credit Agreement was $182.2 million, after giving effect to the outstanding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Critical Accounting Policies,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our critical accounting policies, judgments and estimates from the information provided in Part II, Item 7, Management’s Discussion and Analysis of Financial Condition and Results of Operations - Critical Accounting Policies, Judgments and Estimates, in our Annual Report on Form 10-K for the year ended September 27, 2025, as filed with the SEC on November 26, 2025.</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605"/>
        <w:gridCol w:w="510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51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has been no material change in the Company’s assessment of its sensitivity to market risk since its presentation set forth, in item 7a. “Quantitative and Qualitative Disclosures About Market Risk,” in our Annual Report on Form 10-K for the year ended September 27, 2025, as filed with the SEC on November 26, 2025.</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5"/>
        <w:gridCol w:w="212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w:t>
            </w:r>
          </w:p>
        </w:tc>
        <w:tc>
          <w:tcPr>
            <w:tcW w:w="21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Chief Executive Officer and the Chief Financial Officer of the Company (its principal executive officer and principal financial officer, respectively) have concluded, based on their evaluation as of June 27, 2026, that the Company’s disclosure controls and procedures (as defined in Rule 13a-15(f) under the Exchange Act) are effective to ensure that information required to be disclosed by the Company in the reports filed or submitted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has been no change in the Company’s internal control over financial reporting (as such term is defined in Rule 13a-15(f) of the Exchange Act) during the quarter ended June 27, 2026,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subject, from time to time, to certain legal proceedings and claims that arise from our business. As of the date of this Quarterly Report on Form 10-Q, the Company does not expect that any such proceedings will have a material adverse effect on the Company’s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on risk factors, please refer to “Risk Factors” in Part I, Item 1A of the Company’s Form 10-K for the fiscal year ended September 27, 2025. The risks identified in that report have not changed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the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repurchases of our common stock during the third quarter of 2026:</w:t>
      </w:r>
    </w:p>
    <w:p>
      <w:pPr>
        <w:pStyle w:val="TextBody"/>
        <w:bidi w:val="0"/>
        <w:spacing w:before="0" w:after="0"/>
        <w:ind w:left="0" w:right="0" w:hanging="0"/>
        <w:jc w:val="left"/>
        <w:rPr>
          <w:caps w:val="false"/>
          <w:smallCaps w:val="false"/>
        </w:rPr>
      </w:pPr>
      <w:r>
        <w:rPr>
          <w:caps w:val="false"/>
          <w:smallCaps w:val="false"/>
        </w:rPr>
        <w:t> </w:t>
      </w:r>
    </w:p>
    <w:tbl>
      <w:tblPr>
        <w:tblW w:w="9606" w:type="dxa"/>
        <w:jc w:val="left"/>
        <w:tblInd w:w="0" w:type="dxa"/>
        <w:tblLayout w:type="fixed"/>
        <w:tblCellMar>
          <w:top w:w="0" w:type="dxa"/>
          <w:left w:w="0" w:type="dxa"/>
          <w:bottom w:w="0" w:type="dxa"/>
          <w:right w:w="0" w:type="dxa"/>
        </w:tblCellMar>
      </w:tblPr>
      <w:tblGrid>
        <w:gridCol w:w="2855"/>
        <w:gridCol w:w="60"/>
        <w:gridCol w:w="94"/>
        <w:gridCol w:w="1095"/>
        <w:gridCol w:w="60"/>
        <w:gridCol w:w="60"/>
        <w:gridCol w:w="95"/>
        <w:gridCol w:w="779"/>
        <w:gridCol w:w="60"/>
        <w:gridCol w:w="60"/>
        <w:gridCol w:w="157"/>
        <w:gridCol w:w="1827"/>
        <w:gridCol w:w="60"/>
        <w:gridCol w:w="60"/>
        <w:gridCol w:w="388"/>
        <w:gridCol w:w="1836"/>
        <w:gridCol w:w="6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 dollar value</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as part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 that may yet</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publicly announced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 purchased under</w:t>
            </w:r>
          </w:p>
        </w:tc>
        <w:tc>
          <w:tcPr>
            <w:tcW w:w="60" w:type="dxa"/>
            <w:tcBorders/>
            <w:vAlign w:val="center"/>
          </w:tcPr>
          <w:p>
            <w:pPr>
              <w:pStyle w:val="TableContents"/>
              <w:bidi w:val="0"/>
              <w:spacing w:before="0" w:after="283"/>
              <w:jc w:val="left"/>
              <w:rPr/>
            </w:pPr>
            <w:r>
              <w:rPr/>
              <w:t> </w:t>
            </w:r>
          </w:p>
        </w:tc>
      </w:tr>
      <w:tr>
        <w:trPr/>
        <w:tc>
          <w:tcPr>
            <w:tcW w:w="28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or programs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or programs (2)</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2026 to April 25, 2026</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28,023</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26, 2026 to May 23, 2026</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ind w:left="0" w:right="0" w:hanging="0"/>
              <w:jc w:val="left"/>
              <w:rPr/>
            </w:pPr>
            <w:r>
              <w:rPr/>
              <w:t> </w:t>
            </w:r>
          </w:p>
        </w:tc>
        <w:tc>
          <w:tcPr>
            <w:tcW w:w="1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24, 2026 to June 27, 2026</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17,965</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June 27, 2026</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ind w:left="0" w:right="0" w:hanging="0"/>
              <w:jc w:val="left"/>
              <w:rPr/>
            </w:pPr>
            <w:r>
              <w:rPr/>
              <w:t> </w:t>
            </w:r>
          </w:p>
        </w:tc>
        <w:tc>
          <w:tcPr>
            <w:tcW w:w="1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135,852 shares repurchased as part of our publicly announced share repurchase program during the quarter ended June 27, 2026, and there were 5,362 shares withheld to cover taxes associated with the vesting of certain restricted stock units held by officers and employees.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3, 2026, the Company announced that the Board of Directors authorized a share repurchase program (the 2026 Share Repurchase Program) pursuant to which the Company could repurchase up to $50.0 million of the Company’s common stock, exclusive of any fees, commissions, and other expenses related to such repurchases. As of June 27, 2026, there remains $18.0 million of share repurchase availability under the 2026 Share Repurchase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605"/>
        <w:gridCol w:w="159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w:t>
            </w:r>
          </w:p>
        </w:tc>
        <w:tc>
          <w:tcPr>
            <w:tcW w:w="15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June 27,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605"/>
        <w:gridCol w:w="72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6.</w:t>
            </w:r>
          </w:p>
        </w:tc>
        <w:tc>
          <w:tcPr>
            <w:tcW w:w="7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15"/>
        <w:gridCol w:w="9530"/>
      </w:tblGrid>
      <w:tr>
        <w:trPr/>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hyperlink r:id="rId2">
              <w:r>
                <w:rPr>
                  <w:rStyle w:val="InternetLink"/>
                </w:rPr>
                <w:t>10.1</w:t>
              </w:r>
            </w:hyperlink>
          </w:p>
        </w:tc>
        <w:tc>
          <w:tcPr>
            <w:tcW w:w="9530" w:type="dxa"/>
            <w:tcBorders/>
            <w:vAlign w:val="center"/>
          </w:tcPr>
          <w:p>
            <w:pPr>
              <w:pStyle w:val="TableContents"/>
              <w:bidi w:val="0"/>
              <w:spacing w:before="0" w:after="283"/>
              <w:jc w:val="left"/>
              <w:rPr/>
            </w:pPr>
            <w:r>
              <w:rPr/>
              <w:t>Amendment No. 2 to Second Amended and Restated Credit Agreement dated as of June 5, 2026, among J &amp; J Snack Foods Corp. and certain subsidiaries, as borrowers, Citizens Bank, N.A. as Administrative Agent, and certain lenders and other parties thereto (Incorporated by reference from the Company’s Form 8-K filed June 10, 2026.</w:t>
            </w:r>
          </w:p>
        </w:tc>
      </w:tr>
      <w:tr>
        <w:trPr/>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0"/>
              <w:ind w:left="0" w:right="0" w:hanging="0"/>
              <w:jc w:val="left"/>
              <w:rPr/>
            </w:pPr>
            <w:hyperlink w:anchor="ex_994024.htm">
              <w:r>
                <w:rPr>
                  <w:rStyle w:val="InternetLink"/>
                  <w:rFonts w:ascii="Times New Roman" w:hAnsi="Times New Roman"/>
                  <w:caps w:val="false"/>
                  <w:smallCaps w:val="false"/>
                  <w:sz w:val="20"/>
                </w:rPr>
                <w:t>31.1</w:t>
              </w:r>
            </w:hyperlink>
            <w:r>
              <w:rPr>
                <w:rFonts w:ascii="Times New Roman" w:hAnsi="Times New Roman"/>
                <w:caps w:val="false"/>
                <w:smallCaps w:val="false"/>
                <w:sz w:val="20"/>
              </w:rPr>
              <w:t xml:space="preserve"> &amp; </w:t>
            </w:r>
            <w:hyperlink w:anchor="ex_994029.htm">
              <w:r>
                <w:rPr>
                  <w:rStyle w:val="InternetLink"/>
                  <w:rFonts w:ascii="Times New Roman" w:hAnsi="Times New Roman"/>
                  <w:caps w:val="false"/>
                  <w:smallCaps w:val="false"/>
                  <w:sz w:val="20"/>
                </w:rPr>
                <w:t>31.2</w:t>
              </w:r>
            </w:hyperlink>
          </w:p>
        </w:tc>
        <w:tc>
          <w:tcPr>
            <w:tcW w:w="9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 Pursuant to Section 302 of the Sarbanes-Oxley Act of 2002</w:t>
            </w:r>
          </w:p>
        </w:tc>
      </w:tr>
      <w:tr>
        <w:trPr/>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0"/>
              <w:ind w:left="0" w:right="0" w:hanging="0"/>
              <w:jc w:val="left"/>
              <w:rPr/>
            </w:pPr>
            <w:hyperlink w:anchor="ex_994030.htm">
              <w:r>
                <w:rPr>
                  <w:rStyle w:val="InternetLink"/>
                  <w:rFonts w:ascii="Times New Roman" w:hAnsi="Times New Roman"/>
                  <w:caps w:val="false"/>
                  <w:smallCaps w:val="false"/>
                  <w:sz w:val="20"/>
                </w:rPr>
                <w:t>32.1</w:t>
              </w:r>
            </w:hyperlink>
            <w:r>
              <w:rPr>
                <w:rFonts w:ascii="Times New Roman" w:hAnsi="Times New Roman"/>
                <w:caps w:val="false"/>
                <w:smallCaps w:val="false"/>
                <w:sz w:val="20"/>
              </w:rPr>
              <w:t xml:space="preserve"> &amp; </w:t>
            </w:r>
            <w:hyperlink w:anchor="ex_994031.htm">
              <w:r>
                <w:rPr>
                  <w:rStyle w:val="InternetLink"/>
                  <w:rFonts w:ascii="Times New Roman" w:hAnsi="Times New Roman"/>
                  <w:caps w:val="false"/>
                  <w:smallCaps w:val="false"/>
                  <w:sz w:val="20"/>
                </w:rPr>
                <w:t>32.2</w:t>
              </w:r>
            </w:hyperlink>
          </w:p>
        </w:tc>
        <w:tc>
          <w:tcPr>
            <w:tcW w:w="9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 Pursuant to the 18 U.S.C. Section 1350, as Adopted Pursuant to Section 906 of the Sarbanes-Oxley Act of 2002</w:t>
            </w:r>
          </w:p>
        </w:tc>
      </w:tr>
      <w:tr>
        <w:trPr/>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101.1</w:t>
            </w:r>
          </w:p>
        </w:tc>
        <w:tc>
          <w:tcPr>
            <w:tcW w:w="9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financial information from J&amp;J Snack Foods Corp.'s Quarterly Report on Form 10-Q for the quarter ended June 27, 2026, formatted in Inline XBRL (Inline extensible Business Reporting Language):</w:t>
            </w:r>
          </w:p>
        </w:tc>
      </w:tr>
    </w:tbl>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60"/>
        <w:gridCol w:w="350"/>
        <w:gridCol w:w="5840"/>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5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Balance Sheets,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5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Earnings,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5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Comprehensive Income,</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5840" w:type="dxa"/>
            <w:tcBorders/>
            <w:vAlign w:val="center"/>
          </w:tcPr>
          <w:p>
            <w:pPr>
              <w:pStyle w:val="TableContents"/>
              <w:bidi w:val="0"/>
              <w:spacing w:before="0" w:after="283"/>
              <w:jc w:val="left"/>
              <w:rPr/>
            </w:pPr>
            <w:r>
              <w:rPr/>
              <w:t>Consolidated Statements of Changes in Stockholders’ Equity,</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(v)</w:t>
            </w:r>
          </w:p>
        </w:tc>
        <w:tc>
          <w:tcPr>
            <w:tcW w:w="5840" w:type="dxa"/>
            <w:tcBorders/>
            <w:vAlign w:val="center"/>
          </w:tcPr>
          <w:p>
            <w:pPr>
              <w:pStyle w:val="TableContents"/>
              <w:bidi w:val="0"/>
              <w:spacing w:before="0" w:after="283"/>
              <w:jc w:val="left"/>
              <w:rPr/>
            </w:pPr>
            <w:r>
              <w:rPr/>
              <w:t>Consolidated Statements of Cash Flows and</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(vi)</w:t>
            </w:r>
          </w:p>
        </w:tc>
        <w:tc>
          <w:tcPr>
            <w:tcW w:w="5840" w:type="dxa"/>
            <w:tcBorders/>
            <w:vAlign w:val="center"/>
          </w:tcPr>
          <w:p>
            <w:pPr>
              <w:pStyle w:val="TableContents"/>
              <w:bidi w:val="0"/>
              <w:spacing w:before="0" w:after="283"/>
              <w:jc w:val="left"/>
              <w:rPr/>
            </w:pPr>
            <w:r>
              <w:rPr/>
              <w:t>the Notes to the Consolidated Financial Statements</w:t>
            </w:r>
          </w:p>
        </w:tc>
      </w:tr>
    </w:tbl>
    <w:p>
      <w:pPr>
        <w:pStyle w:val="TextBody"/>
        <w:bidi w:val="0"/>
        <w:spacing w:before="0" w:after="0"/>
        <w:ind w:left="3600" w:right="0" w:hanging="108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60"/>
        <w:gridCol w:w="335"/>
        <w:gridCol w:w="7325"/>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7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1850"/>
        <w:gridCol w:w="3965"/>
      </w:tblGrid>
      <w:tr>
        <w:trPr/>
        <w:tc>
          <w:tcPr>
            <w:tcW w:w="185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J &amp; J SNACK FOODS CORP.</w:t>
            </w:r>
          </w:p>
        </w:tc>
      </w:tr>
      <w:tr>
        <w:trPr/>
        <w:tc>
          <w:tcPr>
            <w:tcW w:w="185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August 6, 2026</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Dan Fachner</w:t>
            </w:r>
          </w:p>
        </w:tc>
      </w:tr>
      <w:tr>
        <w:trPr/>
        <w:tc>
          <w:tcPr>
            <w:tcW w:w="18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 Fachner</w:t>
            </w:r>
          </w:p>
        </w:tc>
      </w:tr>
      <w:tr>
        <w:trPr/>
        <w:tc>
          <w:tcPr>
            <w:tcW w:w="18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 Chief Executive Officer</w:t>
            </w:r>
          </w:p>
        </w:tc>
      </w:tr>
      <w:tr>
        <w:trPr/>
        <w:tc>
          <w:tcPr>
            <w:tcW w:w="18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85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August 6, 2026</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Shawn Munsell</w:t>
            </w:r>
          </w:p>
        </w:tc>
      </w:tr>
      <w:tr>
        <w:trPr/>
        <w:tc>
          <w:tcPr>
            <w:tcW w:w="18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Munsell, Senior Vice</w:t>
            </w:r>
          </w:p>
        </w:tc>
      </w:tr>
      <w:tr>
        <w:trPr/>
        <w:tc>
          <w:tcPr>
            <w:tcW w:w="18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Financial Officer</w:t>
            </w:r>
          </w:p>
        </w:tc>
      </w:tr>
      <w:tr>
        <w:trPr/>
        <w:tc>
          <w:tcPr>
            <w:tcW w:w="18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r>
        <w:trPr/>
        <w:tc>
          <w:tcPr>
            <w:tcW w:w="185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35</w:t>
      </w:r>
    </w:p>
    <w:p>
      <w:pPr>
        <w:pStyle w:val="TextBody"/>
        <w:bidi w:val="0"/>
        <w:spacing w:before="0" w:after="0"/>
        <w:ind w:left="0" w:right="0" w:hanging="0"/>
        <w:jc w:val="left"/>
        <w:rPr>
          <w:rFonts w:ascii="Times New Roman" w:hAnsi="Times New Roman"/>
          <w:b/>
          <w:caps w:val="false"/>
          <w:smallCaps w:val="false"/>
          <w:sz w:val="20"/>
        </w:rPr>
      </w:pPr>
      <w:bookmarkStart w:id="2" w:name="ex_994024.htm"/>
      <w:bookmarkStart w:id="3" w:name="ksex_994024"/>
      <w:bookmarkEnd w:id="2"/>
      <w:bookmarkEnd w:id="3"/>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302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Dan Fachner,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report on Form 10-Q of J &amp; J Snack Foods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p>
      <w:pPr>
        <w:pStyle w:val="TextBody"/>
        <w:bidi w:val="0"/>
        <w:spacing w:before="0" w:after="0"/>
        <w:ind w:left="0" w:right="0" w:hanging="0"/>
        <w:jc w:val="left"/>
        <w:rPr>
          <w:caps w:val="false"/>
          <w:smallCaps w:val="false"/>
        </w:rPr>
      </w:pPr>
      <w:r>
        <w:rPr>
          <w:caps w:val="false"/>
          <w:smallCaps w:val="false"/>
        </w:rPr>
        <w:t> </w:t>
      </w:r>
    </w:p>
    <w:tbl>
      <w:tblPr>
        <w:tblW w:w="4025" w:type="dxa"/>
        <w:jc w:val="left"/>
        <w:tblInd w:w="0" w:type="dxa"/>
        <w:tblLayout w:type="fixed"/>
        <w:tblCellMar>
          <w:top w:w="0" w:type="dxa"/>
          <w:left w:w="0" w:type="dxa"/>
          <w:bottom w:w="0" w:type="dxa"/>
          <w:right w:w="0" w:type="dxa"/>
        </w:tblCellMar>
      </w:tblPr>
      <w:tblGrid>
        <w:gridCol w:w="60"/>
        <w:gridCol w:w="3965"/>
      </w:tblGrid>
      <w:tr>
        <w:trPr/>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Dan Fachner</w:t>
            </w:r>
          </w:p>
        </w:tc>
      </w:tr>
      <w:tr>
        <w:trPr/>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 Fachner</w:t>
            </w:r>
          </w:p>
        </w:tc>
      </w:tr>
      <w:tr>
        <w:trPr/>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4" w:name="ex_994029.htm"/>
      <w:bookmarkStart w:id="5" w:name="ksex_994029"/>
      <w:bookmarkEnd w:id="4"/>
      <w:bookmarkEnd w:id="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302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Shawn Munsell,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report on Form 10-Q of J &amp; J Snack Foods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p>
      <w:pPr>
        <w:pStyle w:val="TextBody"/>
        <w:bidi w:val="0"/>
        <w:spacing w:before="0" w:after="0"/>
        <w:ind w:left="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60"/>
        <w:gridCol w:w="3020"/>
      </w:tblGrid>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Shawn Munsell</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Munsell, Senior Vice</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Financial Officer</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6" w:name="ex_994030.htm"/>
      <w:bookmarkStart w:id="7" w:name="ksex_994030"/>
      <w:bookmarkEnd w:id="6"/>
      <w:bookmarkEnd w:id="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(Section 1350 of Chapter 63 of Title 18 of the United States Code), the undersigned officer of J &amp; J Snack Foods Corp. (the “Company”), does hereby certify with respect to the Quarterly Report of the Company on Form 10-Q for the quarter ended June 27, 2026 (the “Report”)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08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08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August 6, 2026</w:t>
      </w:r>
    </w:p>
    <w:p>
      <w:pPr>
        <w:pStyle w:val="TextBody"/>
        <w:bidi w:val="0"/>
        <w:spacing w:before="0" w:after="0"/>
        <w:ind w:left="0" w:right="0" w:hanging="0"/>
        <w:jc w:val="left"/>
        <w:rPr>
          <w:caps w:val="false"/>
          <w:smallCaps w:val="false"/>
        </w:rPr>
      </w:pPr>
      <w:r>
        <w:rPr>
          <w:caps w:val="false"/>
          <w:smallCaps w:val="false"/>
        </w:rPr>
        <w:t> </w:t>
      </w:r>
    </w:p>
    <w:tbl>
      <w:tblPr>
        <w:tblW w:w="4025" w:type="dxa"/>
        <w:jc w:val="left"/>
        <w:tblInd w:w="0" w:type="dxa"/>
        <w:tblLayout w:type="fixed"/>
        <w:tblCellMar>
          <w:top w:w="0" w:type="dxa"/>
          <w:left w:w="0" w:type="dxa"/>
          <w:bottom w:w="0" w:type="dxa"/>
          <w:right w:w="0" w:type="dxa"/>
        </w:tblCellMar>
      </w:tblPr>
      <w:tblGrid>
        <w:gridCol w:w="60"/>
        <w:gridCol w:w="3965"/>
      </w:tblGrid>
      <w:tr>
        <w:trPr/>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Dan Fachner</w:t>
            </w:r>
          </w:p>
        </w:tc>
      </w:tr>
      <w:tr>
        <w:trPr/>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 Fachner</w:t>
            </w:r>
          </w:p>
        </w:tc>
      </w:tr>
      <w:tr>
        <w:trPr/>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 Chief Executive Officer</w:t>
            </w:r>
          </w:p>
        </w:tc>
      </w:tr>
      <w:tr>
        <w:trPr/>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8" w:name="ex_994031.htm"/>
      <w:bookmarkStart w:id="9" w:name="ksex_994031"/>
      <w:bookmarkEnd w:id="8"/>
      <w:bookmarkEnd w:id="9"/>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(Section 1350 of Chapter 63 of Title 18 of the United States Code), the undersigned officer of J &amp; J Snack Foods Corp. (the “Company”), does hereby certify with respect to the Quarterly Report of the Company on Form 10-Q for the quarter ended June 27, 2026 (the “Report”)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08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08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August 6, 2026</w:t>
      </w:r>
    </w:p>
    <w:p>
      <w:pPr>
        <w:pStyle w:val="TextBody"/>
        <w:bidi w:val="0"/>
        <w:spacing w:before="0" w:after="0"/>
        <w:ind w:left="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60"/>
        <w:gridCol w:w="3020"/>
      </w:tblGrid>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Shawn Munsell</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Munsell, Senior Vice</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Financial Officer</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85956/000143774926020193/ex_975043.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19553</Words>
  <Characters>104328</Characters>
  <CharactersWithSpaces>128819</CharactersWithSpaces>
  <Paragraphs>11553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