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Date of Report (Date of earliest event reported): May 6, 2026</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J&amp;J SNACK FOODS CORP.</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000-14616</w:t>
            </w:r>
          </w:p>
        </w:tc>
        <w:tc>
          <w:tcPr>
            <w:tcW w:w="2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22-1935537</w:t>
            </w:r>
          </w:p>
        </w:tc>
        <w:tc>
          <w:tcPr>
            <w:tcW w:w="0" w:type="dxa"/>
            <w:vAlign w:val="bottom"/>
          </w:tcPr>
          <w:p>
            <w:pPr>
              <w:spacing w:after="0"/>
              <w:rPr>
                <w:sz w:val="1"/>
                <w:szCs w:val="1"/>
                <w:color w:val="auto"/>
              </w:rPr>
            </w:pPr>
          </w:p>
        </w:tc>
      </w:tr>
      <w:tr>
        <w:trPr>
          <w:trHeight w:val="191"/>
        </w:trPr>
        <w:tc>
          <w:tcPr>
            <w:tcW w:w="2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2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34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Jurisdiction of</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2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212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350 Fellowship Rd., Mount Laurel, New Jersey 08054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Registrant's telephone number, including area code: (856) 665-9533</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240.14d-2(b))</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900" w:type="dxa"/>
            <w:vAlign w:val="bottom"/>
          </w:tcPr>
          <w:p>
            <w:pPr>
              <w:spacing w:after="0"/>
              <w:rPr>
                <w:sz w:val="18"/>
                <w:szCs w:val="18"/>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JJSF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J &amp; J Snack Foods Corp. issued a press release reporting its financial results for the fiscal second quarter ended March 28, 2026.</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report and in the attached press release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20" w:type="dxa"/>
            <w:vAlign w:val="bottom"/>
          </w:tcPr>
          <w:p>
            <w:pPr>
              <w:spacing w:after="0"/>
              <w:rPr>
                <w:sz w:val="20"/>
                <w:szCs w:val="20"/>
                <w:color w:val="auto"/>
              </w:rPr>
            </w:pPr>
          </w:p>
        </w:tc>
        <w:tc>
          <w:tcPr>
            <w:tcW w:w="656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6, 2026</w:t>
            </w:r>
          </w:p>
        </w:tc>
      </w:tr>
      <w:tr>
        <w:trPr>
          <w:trHeight w:val="20"/>
        </w:trPr>
        <w:tc>
          <w:tcPr>
            <w:tcW w:w="22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71"/>
        </w:trPr>
        <w:tc>
          <w:tcPr>
            <w:tcW w:w="2260" w:type="dxa"/>
            <w:vAlign w:val="bottom"/>
          </w:tcPr>
          <w:p>
            <w:pPr>
              <w:spacing w:after="0"/>
              <w:rPr>
                <w:sz w:val="24"/>
                <w:szCs w:val="24"/>
                <w:color w:val="auto"/>
              </w:rPr>
            </w:pPr>
          </w:p>
        </w:tc>
        <w:tc>
          <w:tcPr>
            <w:tcW w:w="8980" w:type="dxa"/>
            <w:vAlign w:val="bottom"/>
            <w:gridSpan w:val="2"/>
          </w:tcPr>
          <w:p>
            <w:pPr>
              <w:jc w:val="right"/>
              <w:ind w:right="5560"/>
              <w:spacing w:after="0"/>
              <w:rPr>
                <w:sz w:val="20"/>
                <w:szCs w:val="20"/>
                <w:color w:val="auto"/>
              </w:rPr>
            </w:pPr>
            <w:r>
              <w:rPr>
                <w:rFonts w:ascii="Times New Roman" w:cs="Times New Roman" w:eastAsia="Times New Roman" w:hAnsi="Times New Roman"/>
                <w:sz w:val="22"/>
                <w:szCs w:val="22"/>
                <w:color w:val="auto"/>
              </w:rPr>
              <w:t>2</w:t>
            </w:r>
          </w:p>
        </w:tc>
      </w:tr>
      <w:tr>
        <w:trPr>
          <w:trHeight w:val="103"/>
        </w:trPr>
        <w:tc>
          <w:tcPr>
            <w:tcW w:w="226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 &amp; J SNACK FOODS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By:/s/Shawn Munsell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Shawn Munsell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19685</wp:posOffset>
            </wp:positionV>
            <wp:extent cx="236601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660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Reports Fiscal 2026 Second Quarter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Mount Laurel, NJ. May 6, 2026 </w:t>
      </w:r>
      <w:r>
        <w:rPr>
          <w:rFonts w:ascii="Times New Roman" w:cs="Times New Roman" w:eastAsia="Times New Roman" w:hAnsi="Times New Roman"/>
          <w:sz w:val="18"/>
          <w:szCs w:val="18"/>
          <w:color w:val="auto"/>
        </w:rPr>
        <w:t>– J &amp; J Snack Foods Corp. (Nasdaq: JJSF) today reported financial results for the first quarter ended March 28, 2026.</w:t>
      </w:r>
    </w:p>
    <w:p>
      <w:pPr>
        <w:spacing w:after="0" w:line="224" w:lineRule="exact"/>
        <w:rPr>
          <w:sz w:val="20"/>
          <w:szCs w:val="20"/>
          <w:color w:val="auto"/>
        </w:rPr>
      </w:pPr>
    </w:p>
    <w:tbl>
      <w:tblPr>
        <w:tblLayout w:type="fixed"/>
        <w:tblInd w:w="590" w:type="dxa"/>
        <w:tblCellMar>
          <w:top w:w="0" w:type="dxa"/>
          <w:left w:w="0" w:type="dxa"/>
          <w:bottom w:w="0" w:type="dxa"/>
          <w:right w:w="0" w:type="dxa"/>
        </w:tblCellMar>
      </w:tblPr>
      <w:tr>
        <w:trPr>
          <w:trHeight w:val="249"/>
        </w:trPr>
        <w:tc>
          <w:tcPr>
            <w:tcW w:w="4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600" w:type="dxa"/>
            <w:vAlign w:val="bottom"/>
            <w:tcBorders>
              <w:top w:val="single" w:sz="8" w:color="auto"/>
              <w:bottom w:val="single" w:sz="8" w:color="auto"/>
              <w:right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Second Quarter</w:t>
            </w:r>
          </w:p>
        </w:tc>
      </w:tr>
      <w:tr>
        <w:trPr>
          <w:trHeight w:val="193"/>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ind w:left="440"/>
              <w:spacing w:after="0" w:line="193" w:lineRule="exact"/>
              <w:rPr>
                <w:sz w:val="20"/>
                <w:szCs w:val="20"/>
                <w:color w:val="auto"/>
              </w:rPr>
            </w:pPr>
            <w:r>
              <w:rPr>
                <w:rFonts w:ascii="Times New Roman" w:cs="Times New Roman" w:eastAsia="Times New Roman" w:hAnsi="Times New Roman"/>
                <w:sz w:val="18"/>
                <w:szCs w:val="18"/>
                <w:b w:val="1"/>
                <w:bCs w:val="1"/>
                <w:color w:val="auto"/>
              </w:rPr>
              <w:t>Actuals</w:t>
            </w:r>
          </w:p>
        </w:tc>
        <w:tc>
          <w:tcPr>
            <w:tcW w:w="1800" w:type="dxa"/>
            <w:vAlign w:val="bottom"/>
            <w:tcBorders>
              <w:bottom w:val="single" w:sz="8" w:color="auto"/>
              <w:right w:val="single" w:sz="8" w:color="auto"/>
            </w:tcBorders>
          </w:tcPr>
          <w:p>
            <w:pPr>
              <w:ind w:left="600"/>
              <w:spacing w:after="0" w:line="193" w:lineRule="exact"/>
              <w:rPr>
                <w:sz w:val="20"/>
                <w:szCs w:val="20"/>
                <w:color w:val="auto"/>
              </w:rPr>
            </w:pPr>
            <w:r>
              <w:rPr>
                <w:rFonts w:ascii="Times New Roman" w:cs="Times New Roman" w:eastAsia="Times New Roman" w:hAnsi="Times New Roman"/>
                <w:sz w:val="18"/>
                <w:szCs w:val="18"/>
                <w:b w:val="1"/>
                <w:bCs w:val="1"/>
                <w:color w:val="auto"/>
              </w:rPr>
              <w:t>$ v. LY</w:t>
            </w:r>
          </w:p>
        </w:tc>
        <w:tc>
          <w:tcPr>
            <w:tcW w:w="1800" w:type="dxa"/>
            <w:vAlign w:val="bottom"/>
            <w:tcBorders>
              <w:bottom w:val="single" w:sz="8" w:color="auto"/>
              <w:right w:val="single" w:sz="8" w:color="auto"/>
            </w:tcBorders>
          </w:tcPr>
          <w:p>
            <w:pPr>
              <w:ind w:left="560"/>
              <w:spacing w:after="0" w:line="193" w:lineRule="exact"/>
              <w:rPr>
                <w:sz w:val="20"/>
                <w:szCs w:val="20"/>
                <w:color w:val="auto"/>
              </w:rPr>
            </w:pPr>
            <w:r>
              <w:rPr>
                <w:rFonts w:ascii="Times New Roman" w:cs="Times New Roman" w:eastAsia="Times New Roman" w:hAnsi="Times New Roman"/>
                <w:sz w:val="18"/>
                <w:szCs w:val="18"/>
                <w:b w:val="1"/>
                <w:bCs w:val="1"/>
                <w:color w:val="auto"/>
              </w:rPr>
              <w:t>% v. LY</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$344.8M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$99.3M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(70.1%)</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(65.2%)</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per Diluted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(64.0%)</w:t>
            </w:r>
          </w:p>
        </w:tc>
      </w:tr>
      <w:tr>
        <w:trPr>
          <w:trHeight w:val="209"/>
        </w:trPr>
        <w:tc>
          <w:tcPr>
            <w:tcW w:w="4980" w:type="dxa"/>
            <w:vAlign w:val="bottom"/>
            <w:tcBorders>
              <w:left w:val="single" w:sz="8" w:color="auto"/>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$2.5M</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r>
    </w:tbl>
    <w:p>
      <w:pPr>
        <w:spacing w:after="0" w:line="19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This press release contains non-GAAP financial measures. Please refer to the Non-GAAP Financial Measures section below for reconciliations to the most comparable GAAP measures.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second quarter results demonstrate meaningful progress in our strategic transformation, with strong profitability improvements that position us well for the future," said Dan Fachner, Chairman, President, and CEO of J&amp;J Snack Foods. "Our transformation initiatives and mix improvements enabled us to drive solid bottom line growth including a 9.5% increase in Adjusted EBITDA and a 14.3% increase in Adjusted earnings per share. These results clearly show that Project Apollo is delivering tangible benefits and improving our underlying business performance.</w:t>
      </w:r>
    </w:p>
    <w:p>
      <w:pPr>
        <w:spacing w:after="0" w:line="18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innovative product launches we discussed last quarter are now reaching customers with positive early reception, and our pipeline remains robust. During the quarter, we repurchased $22 million of stock and we continue to see compelling value in our shares as we execute our transformation strategy."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Results</w:t>
      </w:r>
    </w:p>
    <w:p>
      <w:pPr>
        <w:spacing w:after="0" w:line="229"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Net sales decreased 3.2% from the prior year quarter to $344.8 million, with most of the decline attributable to anticipated reductions to our bakery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Service segment net sales decreased 5.0%</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Supermarket segment net sales decreased 4.1%</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Frozen Beverage segment net sales increased 3.1%</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increased from $95.7 million in the prior year quarter to $99.3 million, while gross margin improved from 26.9% to 28.8%. The improvement in gross margin primarily reflects our Apollo transformation initiatives and mix improvements versus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0"/>
        <w:spacing w:after="0" w:line="261" w:lineRule="auto"/>
        <w:rPr>
          <w:sz w:val="20"/>
          <w:szCs w:val="20"/>
          <w:color w:val="auto"/>
        </w:rPr>
      </w:pPr>
      <w:r>
        <w:rPr>
          <w:rFonts w:ascii="Times New Roman" w:cs="Times New Roman" w:eastAsia="Times New Roman" w:hAnsi="Times New Roman"/>
          <w:sz w:val="18"/>
          <w:szCs w:val="18"/>
          <w:color w:val="auto"/>
        </w:rPr>
        <w:t>Total operating expenses of $97.5 million included $6.5 million in non-recurring plant closure costs, as well as other non-recurring expenses. Of the non-recurring costs, $4.1 million was non-cash.</w:t>
      </w: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increased 5.5% to $30.1 million or 8.7% of sales, up from 8.0% in the prior year quarter. The increase included investments in brand support and sponsorships.</w:t>
      </w:r>
    </w:p>
    <w:p>
      <w:pPr>
        <w:ind w:left="660" w:right="1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expenses decreased 0.2% to $41.7 million or 12.1% of sales up from 11.7% in the prior year quarter. Distribution expenses included higher fuel costs of approximately $0.4 million.</w:t>
      </w:r>
    </w:p>
    <w:p>
      <w:pPr>
        <w:ind w:left="660" w:right="8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expenses increased 7.2% to $21.2 million or 6.1% of sales, up from 5.5% in the prior year quarter. The increase was primarily due to a $0.9 million increase in non-recurring legal expenses and other restructuring charges including severance.</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was $1.8 million, compared to $6.0 million in the prior year quarter, while adjusted operating income was $9.6 million, compared to $8.9 million in the prior year quarter. Earnings per diluted share were $0.09, compared to $0.25 in the prior year quarter, while adjusted earnings per diluted share were $0.40, compared to $0.35 in the prior year quarter. The effective tax rate was 28.1%, compared to 27.2% in the prior year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Service Segment</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$214.7 million, a year-over-year decrease of $11.4 million or 5.0%.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reductions in our lower margin bakery business represented approximately $8.0 million of the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Pretzels sales increased $6.7 million, partly offsetting lower sales of handhelds, cookies, and churros.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$3.4 million to $10.9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Supermarket Segment</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$51.6 million, a year-over-year decrease of $2.2 million or 4.1%.</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Frozen novelty sales declined $3.9 million, driven primarily by increased slotting fees associated with our new product innovation and higher trade investment compared to the prior year.</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handheld sales increased as we lapped capacity constraints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$3.9 million to a ($0.4) million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Frozen Beverages Segment</w:t>
      </w:r>
    </w:p>
    <w:p>
      <w:pPr>
        <w:spacing w:after="0" w:line="3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$78.5 million, a year-over-year increase of $2.3 million or 3.1%.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Beverage sales were up $5.2 million while service sales declined $3.2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$2.1 million to $4.6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we repurchased 259,889 shares of common stock for $22 million. As of March 28, 2026, there was $28 million remaining under the $50 million share repurchase program approved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J&amp;J Snack Foods Corp. will host a conference call to discuss results and business outlook today, May 6, 2026, at 10:00 a.m. Eastern Time. Investors interested in participating in the live call can dial (844) 826-3033 from the U.S. or international callers can dial (412) 317-5185. There will also be a live webcast available on the Investor Relations section of the Company's web site at </w:t>
      </w:r>
      <w:r>
        <w:rPr>
          <w:rFonts w:ascii="Times New Roman" w:cs="Times New Roman" w:eastAsia="Times New Roman" w:hAnsi="Times New Roman"/>
          <w:sz w:val="18"/>
          <w:szCs w:val="18"/>
          <w:u w:val="single" w:color="auto"/>
          <w:color w:val="auto"/>
        </w:rPr>
        <w:t>investors.jjsnack.com/news-events/events</w:t>
      </w:r>
      <w:r>
        <w:rPr>
          <w:rFonts w:ascii="Times New Roman" w:cs="Times New Roman" w:eastAsia="Times New Roman" w:hAnsi="Times New Roman"/>
          <w:sz w:val="18"/>
          <w:szCs w:val="18"/>
          <w:color w:val="auto"/>
        </w:rPr>
        <w:t xml:space="preserve"> or directly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webcast will be archived for approximately 30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 &amp; J Snack Foods Corp.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 &amp; J Snack Foods Corp. (Nasdaq: JJSF) is a leader and innovator in the snack food and frozen beverage industry. For over fifty years, the company has specialized in delicious snack and beverage brands for the foodservice and retail segments, serving up fun across the U.S. market. J &amp; J Snack Foods’ core brands include SUPERPRETZEL, the #1 soft pretzel brand, ICEE and SLUSH PUPPIE frozen beverages, and Dippin’ Dots, the original beaded ice cream. The company’s broad brand portfolio also includes LUIGI’S Real Italian Ice, MINUTE MAID* frozen ices, WHOLE FRUIT frozen fruit bars, DOGSTERS ice cream style treats for dogs, ¡Hola! Churros, THE FUNNEL CAKE FACTORY funnel cakes and fries, and bakery brands including MARY B’S, DADDY RAY’S, COUNTRY HOME BAKERS, and HILL &amp; VALLEY. For more information, please visit http://www.jjsnack.com. *MINUTE MAID is a registered trademark of The Coca-Cola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All statements regarding the Company’s expected future financial position, results of operations, revenue growth and profit levels, cash flows, business strategy, budgets, projected costs, capital expenditures, products, competitive positions, growth opportunities, plans and objectives of management for future operations, as well as statements that include words such as “anticipate,” “if,” “believe,” “plan,” “goals,” “estimate,” “expect,” “intend,” “may,” “could,” “should,” “will,” and other similar expressions are forward-looking statements. This includes, without limitation, our statements, and expectations regarding any current or future recovery in our industry and the future impact of our operational efficiency projects. Such forward-looking statements are inherently uncertain, and readers must recognize that actual results may differ materially from the expectations of management. We do not undertake a duty to update such forward-looking statements. Factors that may cause actual results to differ materially from those in the forward-looking statements include consumer spending, price competition, acceptance of new products, the pricing and availability of raw materials, transportation costs, changes in the competitive marketplace the uncertainty and ultimate economic impact of the COVID-19 pandemic or similar health outbreaks, and other risks identified in our annual report on Form 10-K, and our other filings with the Securities and Exchange Commission. Many of these factors are outside of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Adjusted EBITDA consists of net earnings adjusted to exclude: income taxes (benefit); investment income; interest expense; depreciation and amortization; share-based compensation expense; net (gain) loss on sale or disposal of assets; impairment charges, restructuring costs, merger and acquisition costs, acquisition related inventory adjustments, strategic business transformation costs, integration costs, non-recurring legal fee settlements, gain on insurance proceeds received for damage to property, plant and equipment, and plant closure expenses. Adjusted Operating Income consists of operating income adjusted to exclude: impairment charges, restructuring costs, merger and acquisition costs, acquisition related amortization expenses and inventory adjustments, strategic business transformation costs, integration costs, non-recurring legal fee settlements, gain on insurance proceeds received for damage to property, plant and equipment, and plant closure expenses. Adjusted Earnings per Diluted Share consists of net earnings adjusted to exclude: impairment charges, restructuring costs, merger and acquisition costs, acquisition related amortization expenses and inventory adjustment, strategic business transformation costs, integration costs, non-recurring legal fee settlements, gain on insurance proceeds received for damage to property, plant and equipment, and plant closure expenses. For purposes of comparability, the income tax effect of pre-tax adjustments is determined using statutory tax rates. This press release contains certain non-GAAP financial measures; Adjusted EBITDA, Adjusted Operating Income, and Adjusted Earnings per Diluted Share. A "non-GAAP financial measure" is a numerical measure of a company's financial performance that excludes or includes amounts so as to be different than the most directly comparable measure calculated and presented in accordance with U.S. generally accepted accounting principles ("GAAP") in the statements of income, balance sheets, or statements of cash flow of the company. Pursuant to applicable reporting requirements, the company has provided reconciliations below of non-GAAP financial measures to the most directly comparable GAAP measure. The non-GAAP financial measures presented within the Company's earnings release are not indicators of our financial performance under GAAP and should not be considered as an alternative to the applicable GAAP measure. These non-GAAP measures have limitations as analytical tools, and you should not consider them in isolation or as a substitute for analysis of our results as reported under GAAP. In addition, in evaluating these non-GAAP measures, you should be aware that in the future we may incur income, expenses, gains and losses, similar to the adjustments in this press release. Our presentation of these non-GAAP measures should not be construed as an inference that our future results will be unaffected by unusual or infrequent items. We compensate for these limitations by providing equal prominence to our GAAP results and using non-GAAP measures only as supplemental presentations. The non-GAAP measures presented are utilized by management to evaluate the Company's business performance and profitability by excluding certain items that may not be indicative of our recurring core business operating results. The Company believes that these measures provide additional clarity for investors by excluding specific income, expenses, gains, and losses, in an effort to show comparable business operating results for the periods presented. Similarly, Management believes these adjusted measures are useful performance measures because certain items included in the calculations may either mask or exaggerate trends in the Company’s ongoing operating performance. See the reconciliation of Non-GAAP Financial Measures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 Anderson, ICR</w:t>
      </w:r>
    </w:p>
    <w:p>
      <w:pPr>
        <w:spacing w:after="0" w:line="9" w:lineRule="exact"/>
        <w:rPr>
          <w:sz w:val="20"/>
          <w:szCs w:val="20"/>
          <w:color w:val="auto"/>
        </w:rPr>
      </w:pPr>
    </w:p>
    <w:p>
      <w:pPr>
        <w:ind w:right="930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277-1260 </w:t>
      </w:r>
      <w:r>
        <w:rPr>
          <w:rFonts w:ascii="Times New Roman" w:cs="Times New Roman" w:eastAsia="Times New Roman" w:hAnsi="Times New Roman"/>
          <w:sz w:val="18"/>
          <w:szCs w:val="18"/>
          <w:u w:val="single" w:color="auto"/>
          <w:color w:val="auto"/>
        </w:rPr>
        <w:t>reed.anderson@icrinc.com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5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gridSpan w:val="2"/>
          </w:tcPr>
          <w:p>
            <w:pPr>
              <w:spacing w:after="0"/>
              <w:rPr>
                <w:sz w:val="17"/>
                <w:szCs w:val="17"/>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688,597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718,697</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245,527</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493,293</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529,093</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195,304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61,582</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57,176</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81,443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21,184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41,561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38,657</w:t>
            </w:r>
          </w:p>
        </w:tc>
        <w:tc>
          <w:tcPr>
            <w:tcW w:w="80" w:type="dxa"/>
            <w:vAlign w:val="bottom"/>
          </w:tcPr>
          <w:p>
            <w:pPr>
              <w:spacing w:after="0"/>
              <w:rPr>
                <w:sz w:val="18"/>
                <w:szCs w:val="18"/>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closure expenses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general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r>
      <w:tr>
        <w:trPr>
          <w:trHeight w:val="209"/>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97,489</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5"/>
              </w:rPr>
              <w:t>192,864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13,691</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3,724</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9,967</w:t>
            </w:r>
          </w:p>
        </w:tc>
        <w:tc>
          <w:tcPr>
            <w:tcW w:w="80" w:type="dxa"/>
            <w:vAlign w:val="bottom"/>
          </w:tcPr>
          <w:p>
            <w:pPr>
              <w:spacing w:after="0"/>
              <w:rPr>
                <w:sz w:val="24"/>
                <w:szCs w:val="24"/>
                <w:color w:val="auto"/>
              </w:rPr>
            </w:pPr>
          </w:p>
        </w:tc>
      </w:tr>
      <w:tr>
        <w:trPr>
          <w:trHeight w:val="197"/>
        </w:trPr>
        <w:tc>
          <w:tcPr>
            <w:tcW w:w="5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4"/>
                <w:szCs w:val="24"/>
                <w:color w:val="auto"/>
              </w:rPr>
            </w:pP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diluted shares</w:t>
            </w: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18,930</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19,563</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19,136</w:t>
            </w: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19,568</w:t>
            </w:r>
          </w:p>
        </w:tc>
        <w:tc>
          <w:tcPr>
            <w:tcW w:w="80" w:type="dxa"/>
            <w:vAlign w:val="bottom"/>
          </w:tcPr>
          <w:p>
            <w:pPr>
              <w:spacing w:after="0"/>
              <w:rPr>
                <w:sz w:val="24"/>
                <w:szCs w:val="24"/>
                <w:color w:val="auto"/>
              </w:rPr>
            </w:pP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basic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4"/>
                <w:szCs w:val="24"/>
                <w:color w:val="auto"/>
              </w:rPr>
            </w:pPr>
          </w:p>
        </w:tc>
      </w:tr>
      <w:tr>
        <w:trPr>
          <w:trHeight w:val="197"/>
        </w:trPr>
        <w:tc>
          <w:tcPr>
            <w:tcW w:w="5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basic shares</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19,488</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19,113</w:t>
            </w: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19,480</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59,746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105,893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178,011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184,069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171,561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175,173</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13,197</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1,030,562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1,009,463</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646,912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619,310</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185,070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 intangible assets, net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105,920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151,538</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82,405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insurance liability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15,552</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138,737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140,021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 par value; authorized 10,000,000 shares; none issued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50,000,000 shares; issued and outstanding 18,753,000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19,440,000 respectively</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139,118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(12,647)</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812,573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840,224</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9,967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(Gains) from disposals of property &amp; equipment</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plant shutdown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from purchase of companies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15,794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changes in other operating assets and liabilities</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insurance for fixed assets</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vested employee service share units and performance share units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cash dividend</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(30,371)</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73,394</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5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gridSpan w:val="2"/>
          </w:tcPr>
          <w:p>
            <w:pPr>
              <w:spacing w:after="0"/>
              <w:rPr>
                <w:sz w:val="17"/>
                <w:szCs w:val="17"/>
                <w:color w:val="auto"/>
              </w:rPr>
            </w:pPr>
          </w:p>
        </w:tc>
      </w:tr>
      <w:tr>
        <w:trPr>
          <w:trHeight w:val="238"/>
        </w:trPr>
        <w:tc>
          <w:tcPr>
            <w:tcW w:w="5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214,665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433,821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464,936</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98,565</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78,534</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157,274</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155,196</w:t>
            </w:r>
          </w:p>
        </w:tc>
        <w:tc>
          <w:tcPr>
            <w:tcW w:w="80" w:type="dxa"/>
            <w:vAlign w:val="bottom"/>
          </w:tcPr>
          <w:p>
            <w:pPr>
              <w:spacing w:after="0"/>
              <w:rPr>
                <w:sz w:val="19"/>
                <w:szCs w:val="19"/>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sales to external customers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16,279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8,685</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7,213</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15,933</w:t>
            </w:r>
          </w:p>
        </w:tc>
        <w:tc>
          <w:tcPr>
            <w:tcW w:w="80" w:type="dxa"/>
            <w:vAlign w:val="bottom"/>
            <w:shd w:val="clear" w:color="auto" w:fill="CCEEFF"/>
          </w:tcPr>
          <w:p>
            <w:pPr>
              <w:spacing w:after="0"/>
              <w:rPr>
                <w:sz w:val="18"/>
                <w:szCs w:val="18"/>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closure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Unallocated Operating Expenses (net)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12,262</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5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Net Earnings to Adjusted EBITDA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9,967</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3,724</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35,510</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w:t>
            </w:r>
          </w:p>
        </w:tc>
      </w:tr>
      <w:tr>
        <w:trPr>
          <w:trHeight w:val="198"/>
        </w:trPr>
        <w:tc>
          <w:tcPr>
            <w:tcW w:w="59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Loss on Sale or Disposal of Assets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closure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28,678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55,710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51,452</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Operating Income to Adjusted Operating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12,262</w:t>
            </w:r>
          </w:p>
        </w:tc>
      </w:tr>
      <w:tr>
        <w:trPr>
          <w:trHeight w:val="198"/>
        </w:trPr>
        <w:tc>
          <w:tcPr>
            <w:tcW w:w="59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Related Amortization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3,925</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Plant closure expenses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17,038</w:t>
            </w:r>
          </w:p>
        </w:tc>
      </w:tr>
      <w:tr>
        <w:trPr>
          <w:trHeight w:val="197"/>
        </w:trPr>
        <w:tc>
          <w:tcPr>
            <w:tcW w:w="5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5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GAAP Earnings per Diluted Share to Adjusted Earnings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Diluted Share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198"/>
        </w:trPr>
        <w:tc>
          <w:tcPr>
            <w:tcW w:w="59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Legal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Acquisition Related Amortization Expenses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closure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 of Non-GAAP Adjustments (1)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0.68</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Income taxes associated with pre-tax adjustments determined using statutory tax rates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2026-05-06T06:03:29Z</dcterms:created>
  <dcterms:modified xsi:type="dcterms:W3CDTF">2026-05-06T06:03:29Z</dcterms:modified>
</cp:coreProperties>
</file>