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74" w:lineRule="exact"/>
        <w:rPr>
          <w:sz w:val="24"/>
          <w:szCs w:val="24"/>
          <w:color w:val="auto"/>
        </w:rPr>
      </w:pPr>
    </w:p>
    <w:p>
      <w:pPr>
        <w:ind w:left="660" w:right="4180" w:hanging="652"/>
        <w:spacing w:after="0" w:line="500"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period ended March 28, 2026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660" w:right="4140" w:hanging="652"/>
        <w:spacing w:after="0" w:line="500"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 to 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0-14616</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J&amp;J SNACK FOODS CORP.</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220" w:type="dxa"/>
        <w:tblCellMar>
          <w:top w:w="0" w:type="dxa"/>
          <w:left w:w="0" w:type="dxa"/>
          <w:bottom w:w="0" w:type="dxa"/>
          <w:right w:w="0" w:type="dxa"/>
        </w:tblCellMar>
      </w:tblPr>
      <w:tr>
        <w:trPr>
          <w:trHeight w:val="220"/>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New Jersey</w:t>
            </w:r>
          </w:p>
        </w:tc>
        <w:tc>
          <w:tcPr>
            <w:tcW w:w="706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22-1935537</w:t>
            </w:r>
          </w:p>
        </w:tc>
        <w:tc>
          <w:tcPr>
            <w:tcW w:w="0" w:type="dxa"/>
            <w:vAlign w:val="bottom"/>
          </w:tcPr>
          <w:p>
            <w:pPr>
              <w:spacing w:after="0"/>
              <w:rPr>
                <w:sz w:val="1"/>
                <w:szCs w:val="1"/>
                <w:color w:val="auto"/>
              </w:rPr>
            </w:pPr>
          </w:p>
        </w:tc>
      </w:tr>
      <w:tr>
        <w:trPr>
          <w:trHeight w:val="216"/>
        </w:trPr>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7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7060" w:type="dxa"/>
            <w:vAlign w:val="bottom"/>
          </w:tcPr>
          <w:p>
            <w:pPr>
              <w:jc w:val="center"/>
              <w:ind w:left="435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410"/>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350 Fellowship Road,</w:t>
            </w:r>
          </w:p>
        </w:tc>
        <w:tc>
          <w:tcPr>
            <w:tcW w:w="706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08054</w:t>
            </w:r>
          </w:p>
        </w:tc>
        <w:tc>
          <w:tcPr>
            <w:tcW w:w="0" w:type="dxa"/>
            <w:vAlign w:val="bottom"/>
          </w:tcPr>
          <w:p>
            <w:pPr>
              <w:spacing w:after="0"/>
              <w:rPr>
                <w:sz w:val="1"/>
                <w:szCs w:val="1"/>
                <w:color w:val="auto"/>
              </w:rPr>
            </w:pPr>
          </w:p>
        </w:tc>
      </w:tr>
      <w:tr>
        <w:trPr>
          <w:trHeight w:val="220"/>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Mt. Laurel, New Jersey</w:t>
            </w:r>
          </w:p>
        </w:tc>
        <w:tc>
          <w:tcPr>
            <w:tcW w:w="7060" w:type="dxa"/>
            <w:vAlign w:val="bottom"/>
          </w:tcPr>
          <w:p>
            <w:pPr>
              <w:jc w:val="center"/>
              <w:ind w:left="43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7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0" w:type="dxa"/>
            <w:vAlign w:val="bottom"/>
          </w:tcPr>
          <w:p>
            <w:pPr>
              <w:spacing w:after="0"/>
              <w:rPr>
                <w:sz w:val="24"/>
                <w:szCs w:val="24"/>
                <w:color w:val="auto"/>
              </w:rPr>
            </w:pPr>
          </w:p>
        </w:tc>
        <w:tc>
          <w:tcPr>
            <w:tcW w:w="7060" w:type="dxa"/>
            <w:vAlign w:val="bottom"/>
          </w:tcPr>
          <w:p>
            <w:pPr>
              <w:jc w:val="center"/>
              <w:ind w:right="2970"/>
              <w:spacing w:after="0"/>
              <w:rPr>
                <w:sz w:val="20"/>
                <w:szCs w:val="20"/>
                <w:color w:val="auto"/>
              </w:rPr>
            </w:pPr>
            <w:r>
              <w:rPr>
                <w:rFonts w:ascii="Times New Roman" w:cs="Times New Roman" w:eastAsia="Times New Roman" w:hAnsi="Times New Roman"/>
                <w:sz w:val="18"/>
                <w:szCs w:val="18"/>
                <w:color w:val="auto"/>
                <w:w w:val="99"/>
              </w:rPr>
              <w:t>Telephone (856) 665-9533</w:t>
            </w: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7060" w:type="dxa"/>
            <w:vAlign w:val="bottom"/>
          </w:tcPr>
          <w:p>
            <w:pPr>
              <w:jc w:val="center"/>
              <w:ind w:right="29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53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8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JJSF</w:t>
            </w:r>
          </w:p>
        </w:tc>
        <w:tc>
          <w:tcPr>
            <w:tcW w:w="5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79"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ind w:right="3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1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732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b w:val="1"/>
                <w:bCs w:val="1"/>
                <w:color w:val="auto"/>
              </w:rPr>
              <w:t>Outstanding as of May 1, 2026</w:t>
            </w:r>
          </w:p>
        </w:tc>
      </w:tr>
      <w:tr>
        <w:trPr>
          <w:trHeight w:val="228"/>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73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18,753,416 shares</w:t>
            </w:r>
          </w:p>
        </w:tc>
      </w:tr>
      <w:tr>
        <w:trPr>
          <w:trHeight w:val="630"/>
        </w:trPr>
        <w:tc>
          <w:tcPr>
            <w:tcW w:w="3920" w:type="dxa"/>
            <w:vAlign w:val="bottom"/>
          </w:tcPr>
          <w:p>
            <w:pPr>
              <w:spacing w:after="0"/>
              <w:rPr>
                <w:sz w:val="24"/>
                <w:szCs w:val="24"/>
                <w:color w:val="auto"/>
              </w:rPr>
            </w:pPr>
          </w:p>
        </w:tc>
        <w:tc>
          <w:tcPr>
            <w:tcW w:w="732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r>
        <w:trPr>
          <w:trHeight w:val="115"/>
        </w:trPr>
        <w:tc>
          <w:tcPr>
            <w:tcW w:w="3920" w:type="dxa"/>
            <w:vAlign w:val="bottom"/>
            <w:tcBorders>
              <w:bottom w:val="single" w:sz="8" w:color="auto"/>
            </w:tcBorders>
          </w:tcPr>
          <w:p>
            <w:pPr>
              <w:spacing w:after="0"/>
              <w:rPr>
                <w:sz w:val="10"/>
                <w:szCs w:val="10"/>
                <w:color w:val="auto"/>
              </w:rPr>
            </w:pPr>
          </w:p>
        </w:tc>
        <w:tc>
          <w:tcPr>
            <w:tcW w:w="7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0" w:right="339" w:bottom="379"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9380" w:type="dxa"/>
            <w:vAlign w:val="bottom"/>
          </w:tcPr>
          <w:p>
            <w:pPr>
              <w:spacing w:after="0"/>
              <w:rPr>
                <w:sz w:val="17"/>
                <w:szCs w:val="17"/>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Page</w:t>
            </w:r>
          </w:p>
        </w:tc>
      </w:tr>
      <w:tr>
        <w:trPr>
          <w:trHeight w:val="234"/>
        </w:trPr>
        <w:tc>
          <w:tcPr>
            <w:tcW w:w="880" w:type="dxa"/>
            <w:vAlign w:val="bottom"/>
          </w:tcPr>
          <w:p>
            <w:pPr>
              <w:spacing w:after="0"/>
              <w:rPr>
                <w:sz w:val="20"/>
                <w:szCs w:val="20"/>
                <w:color w:val="auto"/>
              </w:rPr>
            </w:pPr>
          </w:p>
        </w:tc>
        <w:tc>
          <w:tcPr>
            <w:tcW w:w="9380" w:type="dxa"/>
            <w:vAlign w:val="bottom"/>
          </w:tcPr>
          <w:p>
            <w:pPr>
              <w:spacing w:after="0"/>
              <w:rPr>
                <w:sz w:val="20"/>
                <w:szCs w:val="20"/>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Number</w:t>
            </w:r>
          </w:p>
        </w:tc>
      </w:tr>
      <w:tr>
        <w:trPr>
          <w:trHeight w:val="216"/>
        </w:trPr>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9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Information</w:t>
            </w:r>
          </w:p>
        </w:tc>
        <w:tc>
          <w:tcPr>
            <w:tcW w:w="980" w:type="dxa"/>
            <w:vAlign w:val="bottom"/>
            <w:shd w:val="clear" w:color="auto" w:fill="CCEEFF"/>
          </w:tcPr>
          <w:p>
            <w:pPr>
              <w:spacing w:after="0"/>
              <w:rPr>
                <w:sz w:val="18"/>
                <w:szCs w:val="18"/>
                <w:color w:val="auto"/>
              </w:rPr>
            </w:pP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l. Consolidated Financial Statements</w:t>
            </w:r>
          </w:p>
        </w:tc>
        <w:tc>
          <w:tcPr>
            <w:tcW w:w="980" w:type="dxa"/>
            <w:vAlign w:val="bottom"/>
            <w:shd w:val="clear" w:color="auto" w:fill="CCEEFF"/>
          </w:tcPr>
          <w:p>
            <w:pPr>
              <w:spacing w:after="0"/>
              <w:rPr>
                <w:sz w:val="18"/>
                <w:szCs w:val="18"/>
                <w:color w:val="auto"/>
              </w:rPr>
            </w:pP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Consolidated Balance Sheets – March 28, 2026 (unaudited) and September 27, 2025</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Consolidated Statements of Earnings (unaudited) - Three and Six Months Ended March 28, 2026 and March 29, 2025</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Three and Six Months Ended March 28, 2026 and March 29, 2025</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40" w:type="dxa"/>
            <w:vAlign w:val="bottom"/>
            <w:gridSpan w:val="3"/>
          </w:tcPr>
          <w:p>
            <w:pPr>
              <w:spacing w:after="0"/>
              <w:rPr>
                <w:sz w:val="18"/>
                <w:szCs w:val="18"/>
                <w:color w:val="auto"/>
              </w:rPr>
            </w:pPr>
          </w:p>
        </w:tc>
      </w:tr>
      <w:tr>
        <w:trPr>
          <w:trHeight w:val="198"/>
        </w:trPr>
        <w:tc>
          <w:tcPr>
            <w:tcW w:w="11240" w:type="dxa"/>
            <w:vAlign w:val="bottom"/>
            <w:gridSpan w:val="3"/>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(unaudited) – Three and Six Months Ended March 28, 2026 and March 29,6</w:t>
            </w:r>
          </w:p>
        </w:tc>
      </w:tr>
      <w:tr>
        <w:trPr>
          <w:trHeight w:val="234"/>
        </w:trPr>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9"/>
              </w:rPr>
              <w:t>2025</w:t>
            </w:r>
          </w:p>
        </w:tc>
        <w:tc>
          <w:tcPr>
            <w:tcW w:w="9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Consolidated Statements of Cash Flows (unaudited)– Three and Six Months Ended March 28, 2026 and March 29, 2025</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Notes to the Consolidated Financial Statements (unaudited)</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9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Information</w:t>
            </w:r>
          </w:p>
        </w:tc>
        <w:tc>
          <w:tcPr>
            <w:tcW w:w="980" w:type="dxa"/>
            <w:vAlign w:val="bottom"/>
            <w:shd w:val="clear" w:color="auto" w:fill="CCEEFF"/>
          </w:tcPr>
          <w:p>
            <w:pPr>
              <w:spacing w:after="0"/>
              <w:rPr>
                <w:sz w:val="18"/>
                <w:szCs w:val="18"/>
                <w:color w:val="auto"/>
              </w:rPr>
            </w:pP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1. Legal Proceedings</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8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8"/>
        </w:trPr>
        <w:tc>
          <w:tcPr>
            <w:tcW w:w="8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Item</w:t>
            </w:r>
          </w:p>
        </w:tc>
        <w:tc>
          <w:tcPr>
            <w:tcW w:w="938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Risk Factors</w:t>
            </w:r>
          </w:p>
        </w:tc>
        <w:tc>
          <w:tcPr>
            <w:tcW w:w="9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32</w:t>
            </w:r>
          </w:p>
        </w:tc>
      </w:tr>
      <w:tr>
        <w:trPr>
          <w:trHeight w:val="234"/>
        </w:trPr>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1A.</w:t>
            </w:r>
          </w:p>
        </w:tc>
        <w:tc>
          <w:tcPr>
            <w:tcW w:w="9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5. Other Information</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6. Exhibits</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880" w:type="dxa"/>
            <w:vAlign w:val="bottom"/>
          </w:tcPr>
          <w:p>
            <w:pPr>
              <w:spacing w:after="0"/>
              <w:rPr>
                <w:sz w:val="24"/>
                <w:szCs w:val="24"/>
                <w:color w:val="auto"/>
              </w:rPr>
            </w:pPr>
          </w:p>
        </w:tc>
        <w:tc>
          <w:tcPr>
            <w:tcW w:w="9380" w:type="dxa"/>
            <w:vAlign w:val="bottom"/>
          </w:tcPr>
          <w:p>
            <w:pPr>
              <w:jc w:val="right"/>
              <w:ind w:right="451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Pr>
          <w:p>
            <w:pPr>
              <w:spacing w:after="0"/>
              <w:rPr>
                <w:sz w:val="24"/>
                <w:szCs w:val="24"/>
                <w:color w:val="auto"/>
              </w:rPr>
            </w:pPr>
          </w:p>
        </w:tc>
      </w:tr>
      <w:tr>
        <w:trPr>
          <w:trHeight w:val="115"/>
        </w:trPr>
        <w:tc>
          <w:tcPr>
            <w:tcW w:w="880" w:type="dxa"/>
            <w:vAlign w:val="bottom"/>
            <w:tcBorders>
              <w:bottom w:val="single" w:sz="8" w:color="auto"/>
            </w:tcBorders>
          </w:tcPr>
          <w:p>
            <w:pPr>
              <w:spacing w:after="0"/>
              <w:rPr>
                <w:sz w:val="10"/>
                <w:szCs w:val="10"/>
                <w:color w:val="auto"/>
              </w:rPr>
            </w:pPr>
          </w:p>
        </w:tc>
        <w:tc>
          <w:tcPr>
            <w:tcW w:w="9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26"/>
        </w:trPr>
        <w:tc>
          <w:tcPr>
            <w:tcW w:w="1140" w:type="dxa"/>
            <w:vAlign w:val="bottom"/>
          </w:tcPr>
          <w:p>
            <w:pPr>
              <w:spacing w:after="0"/>
              <w:rPr>
                <w:sz w:val="24"/>
                <w:szCs w:val="24"/>
                <w:color w:val="auto"/>
              </w:rPr>
            </w:pPr>
          </w:p>
        </w:tc>
        <w:tc>
          <w:tcPr>
            <w:tcW w:w="686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J &amp; J SNACK FOODS CORP. AND SUBSIDIARIES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6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140" w:type="dxa"/>
            <w:vAlign w:val="bottom"/>
          </w:tcPr>
          <w:p>
            <w:pPr>
              <w:spacing w:after="0"/>
              <w:rPr>
                <w:sz w:val="20"/>
                <w:szCs w:val="20"/>
                <w:color w:val="auto"/>
              </w:rPr>
            </w:pPr>
          </w:p>
        </w:tc>
        <w:tc>
          <w:tcPr>
            <w:tcW w:w="6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1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March 28,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1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27,</w:t>
            </w:r>
          </w:p>
        </w:tc>
      </w:tr>
      <w:tr>
        <w:trPr>
          <w:trHeight w:val="238"/>
        </w:trPr>
        <w:tc>
          <w:tcPr>
            <w:tcW w:w="114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59,746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105,893</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178,011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184,069</w:t>
            </w:r>
          </w:p>
        </w:tc>
        <w:tc>
          <w:tcPr>
            <w:tcW w:w="80" w:type="dxa"/>
            <w:vAlign w:val="bottom"/>
          </w:tcPr>
          <w:p>
            <w:pPr>
              <w:spacing w:after="0"/>
              <w:rPr>
                <w:sz w:val="18"/>
                <w:szCs w:val="18"/>
                <w:color w:val="auto"/>
              </w:rPr>
            </w:pPr>
          </w:p>
        </w:tc>
      </w:tr>
      <w:tr>
        <w:trPr>
          <w:trHeight w:val="216"/>
        </w:trPr>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6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171,561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175,173</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13,197</w:t>
            </w:r>
          </w:p>
        </w:tc>
      </w:tr>
      <w:tr>
        <w:trPr>
          <w:trHeight w:val="209"/>
        </w:trPr>
        <w:tc>
          <w:tcPr>
            <w:tcW w:w="800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433,487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w:t>
            </w:r>
          </w:p>
        </w:tc>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3,684</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126,998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127,022</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Plant machinery and equipment</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495,101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488,771</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equipment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320,527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309,371</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Transportation equipment</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16,720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equipment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51,259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49,996</w:t>
            </w: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13,899</w:t>
            </w:r>
          </w:p>
        </w:tc>
      </w:tr>
      <w:tr>
        <w:trPr>
          <w:trHeight w:val="209"/>
        </w:trPr>
        <w:tc>
          <w:tcPr>
            <w:tcW w:w="800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Property, plant and equipment, at cost</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1,030,562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646,912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619,310</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383,650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185,070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185,070</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 intangible assets, net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105,920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105,920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63,930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66,730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149,591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151,538</w:t>
            </w:r>
          </w:p>
        </w:tc>
        <w:tc>
          <w:tcPr>
            <w:tcW w:w="80" w:type="dxa"/>
            <w:vAlign w:val="bottom"/>
            <w:shd w:val="clear" w:color="auto" w:fill="CCEEFF"/>
          </w:tcPr>
          <w:p>
            <w:pPr>
              <w:spacing w:after="0"/>
              <w:rPr>
                <w:sz w:val="18"/>
                <w:szCs w:val="18"/>
                <w:color w:val="auto"/>
              </w:rPr>
            </w:pPr>
          </w:p>
        </w:tc>
      </w:tr>
      <w:tr>
        <w:trPr>
          <w:trHeight w:val="230"/>
        </w:trPr>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3,758</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507,999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1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8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1,325,136</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1,381,501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1140" w:type="dxa"/>
            <w:vAlign w:val="bottom"/>
            <w:shd w:val="clear" w:color="auto" w:fill="CCEEFF"/>
          </w:tcPr>
          <w:p>
            <w:pPr>
              <w:spacing w:after="0"/>
              <w:rPr>
                <w:sz w:val="17"/>
                <w:szCs w:val="17"/>
                <w:color w:val="auto"/>
              </w:rPr>
            </w:pPr>
          </w:p>
        </w:tc>
        <w:tc>
          <w:tcPr>
            <w:tcW w:w="6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89,631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82,405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insurance liability</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16,441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12,606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21,624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compensation expense</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26,475</w:t>
            </w:r>
          </w:p>
        </w:tc>
      </w:tr>
      <w:tr>
        <w:trPr>
          <w:trHeight w:val="22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payable</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15,003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15,552</w:t>
            </w: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w w:val="99"/>
              </w:rPr>
              <w:t>Long-term debt</w:t>
            </w:r>
          </w:p>
        </w:tc>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138,737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140,021</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91,180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91,703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6,061</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$1 par value; authorized 10,000,000 shares; none issued</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198"/>
        </w:trPr>
        <w:tc>
          <w:tcPr>
            <w:tcW w:w="8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50,000,000 shares; issued and outstanding 18,753,000 as of March</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28, 2026 and 19,440,000 as of September 27, 2025</w:t>
            </w:r>
          </w:p>
        </w:tc>
        <w:tc>
          <w:tcPr>
            <w:tcW w:w="18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78,110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139,118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(12,647)</w:t>
            </w: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812,573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840,224</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880,076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1,325,136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1,381,501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01"/>
        </w:trPr>
        <w:tc>
          <w:tcPr>
            <w:tcW w:w="5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42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28,</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344,819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356,099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688,597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718,697</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245,527</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260,396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493,293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529,093</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5"/>
              </w:rPr>
              <w:t>195,304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30,083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28,507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61,582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57,176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41,737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79,793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81,443</w:t>
            </w: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21,184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19,754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41,561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38,657</w:t>
            </w: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on insurance proceeds received for damage to property, plant, and</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Plant closure expense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4,756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general expense</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97,489</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89,680</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5"/>
              </w:rPr>
              <w:t>192,864</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12,262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13,691</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3,724</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9,967</w:t>
            </w:r>
          </w:p>
        </w:tc>
        <w:tc>
          <w:tcPr>
            <w:tcW w:w="0" w:type="dxa"/>
            <w:vAlign w:val="bottom"/>
          </w:tcPr>
          <w:p>
            <w:pPr>
              <w:spacing w:after="0"/>
              <w:rPr>
                <w:sz w:val="1"/>
                <w:szCs w:val="1"/>
                <w:color w:val="auto"/>
              </w:rPr>
            </w:pPr>
          </w:p>
        </w:tc>
      </w:tr>
      <w:tr>
        <w:trPr>
          <w:trHeight w:val="197"/>
        </w:trPr>
        <w:tc>
          <w:tcPr>
            <w:tcW w:w="5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diluted shares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18,930</w:t>
            </w:r>
          </w:p>
        </w:tc>
        <w:tc>
          <w:tcPr>
            <w:tcW w:w="1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19,563</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19,136</w:t>
            </w:r>
          </w:p>
        </w:tc>
        <w:tc>
          <w:tcPr>
            <w:tcW w:w="1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19,568</w:t>
            </w:r>
          </w:p>
        </w:tc>
        <w:tc>
          <w:tcPr>
            <w:tcW w:w="0" w:type="dxa"/>
            <w:vAlign w:val="bottom"/>
          </w:tcPr>
          <w:p>
            <w:pPr>
              <w:spacing w:after="0"/>
              <w:rPr>
                <w:sz w:val="1"/>
                <w:szCs w:val="1"/>
                <w:color w:val="auto"/>
              </w:rPr>
            </w:pPr>
          </w:p>
        </w:tc>
      </w:tr>
      <w:tr>
        <w:trPr>
          <w:trHeight w:val="197"/>
        </w:trPr>
        <w:tc>
          <w:tcPr>
            <w:tcW w:w="5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basic share</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197"/>
        </w:trPr>
        <w:tc>
          <w:tcPr>
            <w:tcW w:w="5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basic shares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18,910</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19,488</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19,113</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19,480</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40" w:type="dxa"/>
            <w:vAlign w:val="bottom"/>
          </w:tcPr>
          <w:p>
            <w:pPr>
              <w:spacing w:after="0"/>
              <w:rPr>
                <w:sz w:val="24"/>
                <w:szCs w:val="24"/>
                <w:color w:val="auto"/>
              </w:rPr>
            </w:pP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J&amp;J SNACK FOODS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01"/>
        </w:trPr>
        <w:tc>
          <w:tcPr>
            <w:tcW w:w="5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8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2,560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9,967</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2,040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8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3"/>
              </w:rPr>
              <w:t>2,040</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4,600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7,822</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4"/>
                <w:szCs w:val="24"/>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J &amp; J SNACK FOODS CORP. AND SUBSIDIARIES CONSOLIDATED STATEMENTS OF CHANGES IN STOCKHOLDERS' EQUITY (Unaudited)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19"/>
                <w:szCs w:val="19"/>
                <w:color w:val="auto"/>
              </w:rPr>
            </w:pPr>
          </w:p>
        </w:tc>
        <w:tc>
          <w:tcPr>
            <w:tcW w:w="2740" w:type="dxa"/>
            <w:vAlign w:val="bottom"/>
            <w:gridSpan w:val="5"/>
            <w:vMerge w:val="restart"/>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2740" w:type="dxa"/>
            <w:vAlign w:val="bottom"/>
            <w:gridSpan w:val="5"/>
            <w:vMerge w:val="continue"/>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6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6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27,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139,118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840,224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966,695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upon vesting of service share units,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shares withheld for taxes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(458)</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(42,000)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 ($0.80 per share)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(15,208)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(15,208)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27,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97,912</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825,899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912,858</w:t>
            </w:r>
          </w:p>
        </w:tc>
        <w:tc>
          <w:tcPr>
            <w:tcW w:w="0" w:type="dxa"/>
            <w:vAlign w:val="bottom"/>
          </w:tcPr>
          <w:p>
            <w:pPr>
              <w:spacing w:after="0"/>
              <w:rPr>
                <w:sz w:val="1"/>
                <w:szCs w:val="1"/>
                <w:color w:val="auto"/>
              </w:rPr>
            </w:pPr>
          </w:p>
        </w:tc>
      </w:tr>
      <w:tr>
        <w:trPr>
          <w:trHeight w:val="197"/>
        </w:trPr>
        <w:tc>
          <w:tcPr>
            <w:tcW w:w="46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upon vesting of service share units,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shares withheld for taxes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for employee stock purchase plan,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shares withheld for 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(22,571)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(22,571)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($0.80 per share)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28, 2026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812,573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880,076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2740" w:type="dxa"/>
            <w:vAlign w:val="bottom"/>
            <w:gridSpan w:val="5"/>
            <w:vMerge w:val="restart"/>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2740" w:type="dxa"/>
            <w:vAlign w:val="bottom"/>
            <w:gridSpan w:val="5"/>
            <w:vMerge w:val="continue"/>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6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6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28,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136,516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835,753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956,970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upon exercise of stock options, net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1,924</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upon vesting of service share units,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shares withheld for 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 ($0.78 per share)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(15,193)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(15,193)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28,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19,479</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139,013</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825,703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946,840</w:t>
            </w:r>
          </w:p>
        </w:tc>
        <w:tc>
          <w:tcPr>
            <w:tcW w:w="0" w:type="dxa"/>
            <w:vAlign w:val="bottom"/>
          </w:tcPr>
          <w:p>
            <w:pPr>
              <w:spacing w:after="0"/>
              <w:rPr>
                <w:sz w:val="1"/>
                <w:szCs w:val="1"/>
                <w:color w:val="auto"/>
              </w:rPr>
            </w:pPr>
          </w:p>
        </w:tc>
      </w:tr>
      <w:tr>
        <w:trPr>
          <w:trHeight w:val="197"/>
        </w:trPr>
        <w:tc>
          <w:tcPr>
            <w:tcW w:w="46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upon exercise of stock options, net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for employee stock purchase plan,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shares withheld for 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1,327</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($0.78 per share)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(15,204)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(15,204)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4,824</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29,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19,453</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137,155</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(17,444)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815,323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935,034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1"/>
        </w:trPr>
        <w:tc>
          <w:tcPr>
            <w:tcW w:w="80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right"/>
              <w:ind w:right="401"/>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Pr>
          <w:p>
            <w:pPr>
              <w:spacing w:after="0"/>
              <w:rPr>
                <w:sz w:val="17"/>
                <w:szCs w:val="17"/>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2,560</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9,967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34,799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31,585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intangibles and deferred costs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3,925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(Gains) from disposals of property &amp; equipment</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plant shutdown expenses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5,046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impairment charge</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2,753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insurance proceeds received for damage to property, plant, and equipment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 net of effects from purchase of companies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15,794</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(13,167)</w:t>
            </w:r>
          </w:p>
        </w:tc>
      </w:tr>
      <w:tr>
        <w:trPr>
          <w:trHeight w:val="22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changes in other operating assets and liabilities</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(3,573)</w:t>
            </w: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(38,530)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622</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insurance for fixed assets</w:t>
            </w:r>
          </w:p>
        </w:tc>
        <w:tc>
          <w:tcPr>
            <w:tcW w:w="22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(33,963</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to repurchase common stock</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stock</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2,886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vested employee service share units and performance share units</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borrowings under credit facility</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cash dividend</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(30,371)</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(65,558</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10"/>
        </w:trPr>
        <w:tc>
          <w:tcPr>
            <w:tcW w:w="80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(24,880)</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105,893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73,394</w:t>
            </w:r>
          </w:p>
        </w:tc>
        <w:tc>
          <w:tcPr>
            <w:tcW w:w="100" w:type="dxa"/>
            <w:vAlign w:val="bottom"/>
            <w:tcBorders>
              <w:bottom w:val="single" w:sz="8" w:color="CCEEFF"/>
            </w:tcBorders>
          </w:tcPr>
          <w:p>
            <w:pPr>
              <w:spacing w:after="0"/>
              <w:rPr>
                <w:sz w:val="18"/>
                <w:szCs w:val="18"/>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 &amp; J SNACK FOODS CORP.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980" w:right="340"/>
        <w:spacing w:after="0" w:line="257"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for interim financial information and with the instructions to Form 10-Q and Rule 10-01 of Regulation S-X. They do not include all information and notes required by generally accepted accounting principles for complete financial statements.</w:t>
      </w:r>
    </w:p>
    <w:p>
      <w:pPr>
        <w:spacing w:after="0" w:line="1" w:lineRule="exact"/>
        <w:rPr>
          <w:sz w:val="20"/>
          <w:szCs w:val="20"/>
          <w:color w:val="auto"/>
        </w:rPr>
      </w:pPr>
    </w:p>
    <w:p>
      <w:pPr>
        <w:ind w:left="980" w:right="220"/>
        <w:spacing w:after="0" w:line="260" w:lineRule="auto"/>
        <w:rPr>
          <w:sz w:val="20"/>
          <w:szCs w:val="20"/>
          <w:color w:val="auto"/>
        </w:rPr>
      </w:pPr>
      <w:r>
        <w:rPr>
          <w:rFonts w:ascii="Times New Roman" w:cs="Times New Roman" w:eastAsia="Times New Roman" w:hAnsi="Times New Roman"/>
          <w:sz w:val="18"/>
          <w:szCs w:val="18"/>
          <w:color w:val="auto"/>
        </w:rPr>
        <w:t>However, except as disclosed herein, there has been no material change in the information disclosed in the Notes to Consolidated Financial Statements included in the Company’s Annual Report on Form 10-K for the year ended September 27, 2025.</w:t>
      </w:r>
    </w:p>
    <w:p>
      <w:pPr>
        <w:spacing w:after="0" w:line="181" w:lineRule="exact"/>
        <w:rPr>
          <w:sz w:val="20"/>
          <w:szCs w:val="20"/>
          <w:color w:val="auto"/>
        </w:rPr>
      </w:pPr>
    </w:p>
    <w:p>
      <w:pPr>
        <w:ind w:left="980" w:right="380"/>
        <w:spacing w:after="0" w:line="312" w:lineRule="auto"/>
        <w:rPr>
          <w:sz w:val="20"/>
          <w:szCs w:val="20"/>
          <w:color w:val="auto"/>
        </w:rPr>
      </w:pPr>
      <w:r>
        <w:rPr>
          <w:rFonts w:ascii="Times New Roman" w:cs="Times New Roman" w:eastAsia="Times New Roman" w:hAnsi="Times New Roman"/>
          <w:sz w:val="17"/>
          <w:szCs w:val="17"/>
          <w:color w:val="auto"/>
        </w:rPr>
        <w:t>In the opinion of management, the accompanying unaudited consolidated financial statements contain all adjustments (consisting of only normal recurring adjustments) necessary to present fairly the Company’s financial position and the results of operations and cash flows.</w:t>
      </w:r>
    </w:p>
    <w:p>
      <w:pPr>
        <w:spacing w:after="0" w:line="140" w:lineRule="exact"/>
        <w:rPr>
          <w:sz w:val="20"/>
          <w:szCs w:val="20"/>
          <w:color w:val="auto"/>
        </w:rPr>
      </w:pPr>
    </w:p>
    <w:p>
      <w:pPr>
        <w:ind w:left="980" w:right="140"/>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March 28, 2026 and March 29, 2025 are not necessarily indicative of results for the full year. Sales of our frozen beverages and frozen novelties are generally higher in the fiscal third and fourth quarters due to warmer weather.</w:t>
      </w:r>
    </w:p>
    <w:p>
      <w:pPr>
        <w:spacing w:after="0" w:line="176" w:lineRule="exact"/>
        <w:rPr>
          <w:sz w:val="20"/>
          <w:szCs w:val="20"/>
          <w:color w:val="auto"/>
        </w:rPr>
      </w:pPr>
    </w:p>
    <w:p>
      <w:pPr>
        <w:ind w:left="980" w:right="200"/>
        <w:spacing w:after="0" w:line="266" w:lineRule="auto"/>
        <w:rPr>
          <w:sz w:val="20"/>
          <w:szCs w:val="20"/>
          <w:color w:val="auto"/>
        </w:rPr>
      </w:pPr>
      <w:r>
        <w:rPr>
          <w:rFonts w:ascii="Times New Roman" w:cs="Times New Roman" w:eastAsia="Times New Roman" w:hAnsi="Times New Roman"/>
          <w:sz w:val="18"/>
          <w:szCs w:val="18"/>
          <w:color w:val="auto"/>
        </w:rPr>
        <w:t>While we believe that the disclosures presented are adequate to make the information not misleading, it is suggested that these consolidated financial statements be read in conjunction with the audited consolidated financial statements and the notes included in the Company’s Annual Report on Form 10-K for the fiscal year ended September 27, 2025.</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29" w:lineRule="exact"/>
        <w:rPr>
          <w:sz w:val="20"/>
          <w:szCs w:val="20"/>
          <w:color w:val="auto"/>
        </w:rPr>
      </w:pPr>
    </w:p>
    <w:p>
      <w:pPr>
        <w:ind w:left="980" w:right="60"/>
        <w:spacing w:after="0" w:line="282" w:lineRule="auto"/>
        <w:rPr>
          <w:sz w:val="20"/>
          <w:szCs w:val="20"/>
          <w:color w:val="auto"/>
        </w:rPr>
      </w:pPr>
      <w:r>
        <w:rPr>
          <w:rFonts w:ascii="Times New Roman" w:cs="Times New Roman" w:eastAsia="Times New Roman" w:hAnsi="Times New Roman"/>
          <w:sz w:val="18"/>
          <w:szCs w:val="18"/>
          <w:color w:val="auto"/>
        </w:rPr>
        <w:t>We recognize revenue in accordance with ASC 606, “Revenue from Contracts with Customers.” Revenue-related taxes collected on behalf of customers and remitted to taxing authorities, principally sales and use taxes, are not included in net sales.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When Performance Obligations Are Satisfied</w:t>
      </w:r>
    </w:p>
    <w:p>
      <w:pPr>
        <w:spacing w:after="0" w:line="225" w:lineRule="exact"/>
        <w:rPr>
          <w:sz w:val="20"/>
          <w:szCs w:val="20"/>
          <w:color w:val="auto"/>
        </w:rPr>
      </w:pPr>
    </w:p>
    <w:p>
      <w:pPr>
        <w:ind w:left="980" w:right="20"/>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w:t>
      </w:r>
    </w:p>
    <w:p>
      <w:pPr>
        <w:spacing w:after="0" w:line="176" w:lineRule="exact"/>
        <w:rPr>
          <w:sz w:val="20"/>
          <w:szCs w:val="20"/>
          <w:color w:val="auto"/>
        </w:rPr>
      </w:pPr>
    </w:p>
    <w:p>
      <w:pPr>
        <w:ind w:left="980"/>
        <w:spacing w:after="0" w:line="256" w:lineRule="auto"/>
        <w:rPr>
          <w:sz w:val="20"/>
          <w:szCs w:val="20"/>
          <w:color w:val="auto"/>
        </w:rPr>
      </w:pPr>
      <w:r>
        <w:rPr>
          <w:rFonts w:ascii="Times New Roman" w:cs="Times New Roman" w:eastAsia="Times New Roman" w:hAnsi="Times New Roman"/>
          <w:sz w:val="18"/>
          <w:szCs w:val="18"/>
          <w:color w:val="auto"/>
        </w:rPr>
        <w:t>The performance obligations of our customer contracts for product and machine sales is determined by each individual purchase order and the respective products ordered, with revenue being recognized at a point-in-time when the obligation under the terms of the agreement is satisfied and product control is transferred to our customer. Specifically, control transfers to our customers when the product is delivered to, installed or picked up by our customers based upon applicable shipping terms, as our customers can direct the use and obtain substantially all of the remaining benefits from the product at this point in time. The performance obligations in our customer contracts for product are generally satisfied within 30 days.</w:t>
      </w:r>
    </w:p>
    <w:p>
      <w:pPr>
        <w:spacing w:after="0" w:line="187" w:lineRule="exact"/>
        <w:rPr>
          <w:sz w:val="20"/>
          <w:szCs w:val="20"/>
          <w:color w:val="auto"/>
        </w:rPr>
      </w:pPr>
    </w:p>
    <w:p>
      <w:pPr>
        <w:ind w:left="980" w:right="160"/>
        <w:spacing w:after="0" w:line="282" w:lineRule="auto"/>
        <w:rPr>
          <w:sz w:val="20"/>
          <w:szCs w:val="20"/>
          <w:color w:val="auto"/>
        </w:rPr>
      </w:pPr>
      <w:r>
        <w:rPr>
          <w:rFonts w:ascii="Times New Roman" w:cs="Times New Roman" w:eastAsia="Times New Roman" w:hAnsi="Times New Roman"/>
          <w:sz w:val="18"/>
          <w:szCs w:val="18"/>
          <w:color w:val="auto"/>
        </w:rPr>
        <w:t>The singular performance obligation of our customer contracts for time and material repair and maintenance equipment service is the performance of the repair and maintenance with revenue being recognized at a point-in-time when the repair and maintenance is completed.</w:t>
      </w:r>
    </w:p>
    <w:p>
      <w:pPr>
        <w:spacing w:after="0" w:line="162" w:lineRule="exact"/>
        <w:rPr>
          <w:sz w:val="20"/>
          <w:szCs w:val="20"/>
          <w:color w:val="auto"/>
        </w:rPr>
      </w:pPr>
    </w:p>
    <w:p>
      <w:pPr>
        <w:ind w:left="980" w:right="40"/>
        <w:spacing w:after="0" w:line="266" w:lineRule="auto"/>
        <w:rPr>
          <w:sz w:val="20"/>
          <w:szCs w:val="20"/>
          <w:color w:val="auto"/>
        </w:rPr>
      </w:pPr>
      <w:r>
        <w:rPr>
          <w:rFonts w:ascii="Times New Roman" w:cs="Times New Roman" w:eastAsia="Times New Roman" w:hAnsi="Times New Roman"/>
          <w:sz w:val="18"/>
          <w:szCs w:val="18"/>
          <w:color w:val="auto"/>
        </w:rPr>
        <w:t>The singular performance obligation of our customer repair and maintenance equipment service contracts is the performance of the repair and maintenance with revenue being recognized over the time the service is expected to be performed. Our customers are billed for service contracts in advance of performance and therefore we have contract liability on our balance sheet.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Significant Payment Terms</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general, within our customer contracts, the purchase order identifies the product, quantity, price, pick-up allowances, payment terms and final delivery terms. Although some payment terms may be more extended, presently the majority of our payment terms are 30 days. As a result, we have used the available practical expedient and, consequently, do not adjust our revenues for the effects of a significant financing component.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Shipping</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All amounts billed to customers related to shipping and handling are classified as revenues; therefore, we recognize revenue for shipping and handling fees at the time the products are shipped or when services are performed. The cost of shipping products to the customer is recognized at the time the products are shipped to the customer and our policy is to classify them as Distribution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Consideration</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to fixed contract consideration, our contracts include some form of variable consideration, including sales discounts, trade promotions and certain other sales and consumer incentives, including rebates and coupon redemptions. In general, variable consideration is treated as a reduction in revenue when the related revenue is recognized. Depending on the specific type of variable consideration, we use the most likely amount method to determine the variable consideration. We believe there will be no significant changes to our estimates of variable consideration when any related uncertainties are resolved with our customers. We review and update our estimates and related accruals of variable consideration each period based on historical experience. Our recorded liability for allowances, end-user pricing adjustments and trade spending was approximately $23.0 million at March 28, 2026 and $22.3 million at September 27,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Warranties &amp; Returns</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provide all customers with a standard or assurance type warranty. Either stated or implied, we provide assurance that the related products will comply with all agreed-upon specifications and other warranties provided under the law. No services beyond an assurance warranty are provided to our customers.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do not grant a general right of return. However, customers may return defective or non-conforming products. Customer remedies may include either a cash refund or an exchange of the product. We do not estimate a right-of-return and related refund liability as returns of our products are rare.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customers are billed for service contracts in advance of performance and therefore we have contract liability on our balance sheet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1"/>
        </w:trPr>
        <w:tc>
          <w:tcPr>
            <w:tcW w:w="4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3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40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gridSpan w:val="2"/>
          </w:tcPr>
          <w:p>
            <w:pPr>
              <w:spacing w:after="0"/>
              <w:rPr>
                <w:sz w:val="17"/>
                <w:szCs w:val="17"/>
                <w:color w:val="auto"/>
              </w:rPr>
            </w:pPr>
          </w:p>
        </w:tc>
      </w:tr>
      <w:tr>
        <w:trPr>
          <w:trHeight w:val="238"/>
        </w:trPr>
        <w:tc>
          <w:tcPr>
            <w:tcW w:w="4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2"/>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20"/>
                <w:szCs w:val="20"/>
                <w:color w:val="auto"/>
              </w:rPr>
            </w:pPr>
          </w:p>
        </w:tc>
      </w:tr>
      <w:tr>
        <w:trPr>
          <w:trHeight w:val="194"/>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4,798</w:t>
            </w:r>
          </w:p>
        </w:tc>
        <w:tc>
          <w:tcPr>
            <w:tcW w:w="8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contract liability</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3,260</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3,407</w:t>
            </w:r>
          </w:p>
        </w:tc>
        <w:tc>
          <w:tcPr>
            <w:tcW w:w="80" w:type="dxa"/>
            <w:vAlign w:val="bottom"/>
          </w:tcPr>
          <w:p>
            <w:pPr>
              <w:spacing w:after="0"/>
              <w:rPr>
                <w:sz w:val="18"/>
                <w:szCs w:val="18"/>
                <w:color w:val="auto"/>
              </w:rPr>
            </w:pPr>
          </w:p>
        </w:tc>
      </w:tr>
      <w:tr>
        <w:trPr>
          <w:trHeight w:val="23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recognized as revenue</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(3,542)</w:t>
            </w: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(3,801)</w:t>
            </w: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disaggregates revenue by geography and by type of good or service, which management believes best depicts how the nature, amount, timing, and uncertainty of revenue and cash flows are affected by economic factors. Product revenues with the food service and retail segments are derived from the sale of snack food products that share similar characteristics, including consistent pricing models, distribution channels, customer typers, and point-in-time revenue recognition upon transfer of control. As a result, management has aggregated product lines within these segments. Product revenues within the frozen beverage segment are derived from the sale of frozen beverage syrup, cups, straws and lids. See Note 10 for disaggregation of our net sales by geography and type of good or service.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Estimated Credit Losses</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continuously monitors collections and payments from its customers and maintains a provision for estimated credit losses. The allowance for estimated credit losses considers a number of factors including the age of receivable balances, the history of losses, expectations of future credit losses, and the customers’ ability to pay off obligations. The allowance for estimated credit losses was $2.9 million and $3.3 million at March 28, 2026 and September 27, 2025, respectively.</w:t>
      </w:r>
    </w:p>
    <w:p>
      <w:pPr>
        <w:spacing w:after="0" w:line="18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00" w:top="580" w:right="379" w:bottom="1440" w:gutter="0" w:footer="0" w:header="0"/>
        </w:sectPr>
      </w:pPr>
    </w:p>
    <w:bookmarkStart w:id="9" w:name="page10"/>
    <w:bookmarkEnd w:id="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Depreciation and Amortization Expense</w:t>
      </w:r>
    </w:p>
    <w:p>
      <w:pPr>
        <w:spacing w:after="0" w:line="229" w:lineRule="exact"/>
        <w:rPr>
          <w:sz w:val="20"/>
          <w:szCs w:val="20"/>
          <w:color w:val="auto"/>
        </w:rPr>
      </w:pPr>
    </w:p>
    <w:p>
      <w:pPr>
        <w:ind w:left="980" w:right="40"/>
        <w:spacing w:after="0" w:line="277" w:lineRule="auto"/>
        <w:rPr>
          <w:sz w:val="20"/>
          <w:szCs w:val="20"/>
          <w:color w:val="auto"/>
        </w:rPr>
      </w:pPr>
      <w:r>
        <w:rPr>
          <w:rFonts w:ascii="Times New Roman" w:cs="Times New Roman" w:eastAsia="Times New Roman" w:hAnsi="Times New Roman"/>
          <w:sz w:val="17"/>
          <w:szCs w:val="17"/>
          <w:color w:val="auto"/>
        </w:rPr>
        <w:t>Depreciation of equipment and buildings is provided for by the straight-line method over the assets’ estimated useful lives. Amortization of improvements is provided for by the straight-line method over the term of the lease or the assets’ estimated useful lives, whichever is shorter. Licenses and rights, customer relationships, franchise agreements, and technology are amortized by the straight-line method over periods ranging from 2 to 20 years. Depreciation expense was $17.6 million and $15.8 million for the three months ended March 28, 2026 and March 29, 2025, respectively and $34.8 million and $31.6 million for the six months ended March 28, 2026 and March 29, 2025, respectively.</w:t>
      </w:r>
    </w:p>
    <w:p>
      <w:pPr>
        <w:spacing w:after="0" w:line="200" w:lineRule="exact"/>
        <w:rPr>
          <w:sz w:val="20"/>
          <w:szCs w:val="20"/>
          <w:color w:val="auto"/>
        </w:rPr>
      </w:pPr>
    </w:p>
    <w:p>
      <w:pPr>
        <w:spacing w:after="0" w:line="2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Basic earnings per common share (“EPS”) excludes dilution and is computed by dividing income available to common shareholders by the weighted average common shares outstanding during the period. Diluted EPS takes into consideration the potential dilution that could occur if securities (stock options, service share units (“RSU’s”), and performance share units (“PSU’s”)) or other contracts to issue common stock were exercised and converted into common stock. Our calculation of EPS is as follows:</w:t>
      </w:r>
    </w:p>
    <w:p>
      <w:pPr>
        <w:spacing w:after="0" w:line="189"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60" w:type="dxa"/>
            <w:vAlign w:val="bottom"/>
            <w:gridSpan w:val="8"/>
          </w:tcPr>
          <w:p>
            <w:pPr>
              <w:ind w:left="880"/>
              <w:spacing w:after="0"/>
              <w:rPr>
                <w:sz w:val="20"/>
                <w:szCs w:val="20"/>
                <w:color w:val="auto"/>
              </w:rPr>
            </w:pPr>
            <w:r>
              <w:rPr>
                <w:rFonts w:ascii="Times New Roman" w:cs="Times New Roman" w:eastAsia="Times New Roman" w:hAnsi="Times New Roman"/>
                <w:sz w:val="18"/>
                <w:szCs w:val="18"/>
                <w:b w:val="1"/>
                <w:bCs w:val="1"/>
                <w:color w:val="auto"/>
              </w:rPr>
              <w:t>Three months ended March 28, 2026</w:t>
            </w:r>
          </w:p>
        </w:tc>
        <w:tc>
          <w:tcPr>
            <w:tcW w:w="0" w:type="dxa"/>
            <w:vAlign w:val="bottom"/>
          </w:tcPr>
          <w:p>
            <w:pPr>
              <w:spacing w:after="0"/>
              <w:rPr>
                <w:sz w:val="1"/>
                <w:szCs w:val="1"/>
                <w:color w:val="auto"/>
              </w:rPr>
            </w:pPr>
          </w:p>
        </w:tc>
      </w:tr>
      <w:tr>
        <w:trPr>
          <w:trHeight w:val="201"/>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right"/>
              <w:ind w:right="680"/>
              <w:spacing w:after="0" w:line="201" w:lineRule="exact"/>
              <w:rPr>
                <w:sz w:val="20"/>
                <w:szCs w:val="20"/>
                <w:color w:val="auto"/>
              </w:rPr>
            </w:pPr>
            <w:r>
              <w:rPr>
                <w:rFonts w:ascii="Times New Roman" w:cs="Times New Roman" w:eastAsia="Times New Roman" w:hAnsi="Times New Roman"/>
                <w:sz w:val="18"/>
                <w:szCs w:val="18"/>
                <w:b w:val="1"/>
                <w:bCs w:val="1"/>
                <w:color w:val="auto"/>
              </w:rPr>
              <w:t>Income</w:t>
            </w:r>
          </w:p>
        </w:tc>
        <w:tc>
          <w:tcPr>
            <w:tcW w:w="1700" w:type="dxa"/>
            <w:vAlign w:val="bottom"/>
            <w:tcBorders>
              <w:top w:val="single" w:sz="8" w:color="auto"/>
            </w:tcBorders>
            <w:gridSpan w:val="2"/>
          </w:tcPr>
          <w:p>
            <w:pPr>
              <w:jc w:val="center"/>
              <w:ind w:right="1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1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(Denominator)</w:t>
            </w:r>
          </w:p>
        </w:tc>
        <w:tc>
          <w:tcPr>
            <w:tcW w:w="240" w:type="dxa"/>
            <w:vAlign w:val="bottom"/>
          </w:tcPr>
          <w:p>
            <w:pPr>
              <w:spacing w:after="0"/>
              <w:rPr>
                <w:sz w:val="20"/>
                <w:szCs w:val="20"/>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1,677</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PSU’s and options</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earnings available to common stockholders plus assumed</w:t>
            </w: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1,677</w:t>
            </w:r>
          </w:p>
        </w:tc>
        <w:tc>
          <w:tcPr>
            <w:tcW w:w="1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18,930</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500" w:type="dxa"/>
            <w:vAlign w:val="bottom"/>
            <w:gridSpan w:val="2"/>
            <w:vMerge w:val="continue"/>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217,912 anti-dilutive shares have been excluded in the computation of EPS for the three months ended March 28, 2026.</w:t>
      </w:r>
    </w:p>
    <w:p>
      <w:pPr>
        <w:spacing w:after="0" w:line="200" w:lineRule="exact"/>
        <w:rPr>
          <w:sz w:val="20"/>
          <w:szCs w:val="20"/>
          <w:color w:val="auto"/>
        </w:rPr>
      </w:pPr>
    </w:p>
    <w:p>
      <w:pPr>
        <w:spacing w:after="0" w:line="25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March 28, 2026</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680"/>
              <w:spacing w:after="0" w:line="201" w:lineRule="exact"/>
              <w:rPr>
                <w:sz w:val="20"/>
                <w:szCs w:val="20"/>
                <w:color w:val="auto"/>
              </w:rPr>
            </w:pPr>
            <w:r>
              <w:rPr>
                <w:rFonts w:ascii="Times New Roman" w:cs="Times New Roman" w:eastAsia="Times New Roman" w:hAnsi="Times New Roman"/>
                <w:sz w:val="18"/>
                <w:szCs w:val="18"/>
                <w:b w:val="1"/>
                <w:bCs w:val="1"/>
                <w:color w:val="auto"/>
              </w:rPr>
              <w:t>Income</w:t>
            </w:r>
          </w:p>
        </w:tc>
        <w:tc>
          <w:tcPr>
            <w:tcW w:w="1700" w:type="dxa"/>
            <w:vAlign w:val="bottom"/>
            <w:gridSpan w:val="2"/>
          </w:tcPr>
          <w:p>
            <w:pPr>
              <w:jc w:val="center"/>
              <w:ind w:right="1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360" w:type="dxa"/>
            <w:vAlign w:val="bottom"/>
          </w:tcPr>
          <w:p>
            <w:pPr>
              <w:spacing w:after="0"/>
              <w:rPr>
                <w:sz w:val="17"/>
                <w:szCs w:val="17"/>
                <w:color w:val="auto"/>
              </w:rPr>
            </w:pPr>
          </w:p>
        </w:tc>
        <w:tc>
          <w:tcPr>
            <w:tcW w:w="1140" w:type="dxa"/>
            <w:vAlign w:val="bottom"/>
          </w:tcPr>
          <w:p>
            <w:pPr>
              <w:jc w:val="center"/>
              <w:ind w:right="2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(Denominator)</w:t>
            </w:r>
          </w:p>
        </w:tc>
        <w:tc>
          <w:tcPr>
            <w:tcW w:w="360" w:type="dxa"/>
            <w:vAlign w:val="bottom"/>
          </w:tcPr>
          <w:p>
            <w:pPr>
              <w:spacing w:after="0"/>
              <w:rPr>
                <w:sz w:val="20"/>
                <w:szCs w:val="20"/>
                <w:color w:val="auto"/>
              </w:rPr>
            </w:pPr>
          </w:p>
        </w:tc>
        <w:tc>
          <w:tcPr>
            <w:tcW w:w="12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2,560</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19,113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PSU’s and options</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earnings available to common stockholders plus assumed</w:t>
            </w: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2,560</w:t>
            </w:r>
          </w:p>
        </w:tc>
        <w:tc>
          <w:tcPr>
            <w:tcW w:w="1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19,136</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500" w:type="dxa"/>
            <w:vAlign w:val="bottom"/>
            <w:gridSpan w:val="2"/>
            <w:vMerge w:val="continue"/>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249,222 anti-dilutive shares have been excluded in the computation of EPS for the six months ended March 28, 2026.</w:t>
      </w:r>
    </w:p>
    <w:p>
      <w:pPr>
        <w:spacing w:after="0" w:line="200" w:lineRule="exact"/>
        <w:rPr>
          <w:sz w:val="20"/>
          <w:szCs w:val="20"/>
          <w:color w:val="auto"/>
        </w:rPr>
      </w:pPr>
    </w:p>
    <w:p>
      <w:pPr>
        <w:spacing w:after="0" w:line="25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60" w:type="dxa"/>
            <w:vAlign w:val="bottom"/>
            <w:gridSpan w:val="8"/>
          </w:tcPr>
          <w:p>
            <w:pPr>
              <w:ind w:left="880"/>
              <w:spacing w:after="0"/>
              <w:rPr>
                <w:sz w:val="20"/>
                <w:szCs w:val="20"/>
                <w:color w:val="auto"/>
              </w:rPr>
            </w:pPr>
            <w:r>
              <w:rPr>
                <w:rFonts w:ascii="Times New Roman" w:cs="Times New Roman" w:eastAsia="Times New Roman" w:hAnsi="Times New Roman"/>
                <w:sz w:val="18"/>
                <w:szCs w:val="18"/>
                <w:b w:val="1"/>
                <w:bCs w:val="1"/>
                <w:color w:val="auto"/>
              </w:rPr>
              <w:t>Three months ended March 29, 2025</w:t>
            </w:r>
          </w:p>
        </w:tc>
        <w:tc>
          <w:tcPr>
            <w:tcW w:w="0" w:type="dxa"/>
            <w:vAlign w:val="bottom"/>
          </w:tcPr>
          <w:p>
            <w:pPr>
              <w:spacing w:after="0"/>
              <w:rPr>
                <w:sz w:val="1"/>
                <w:szCs w:val="1"/>
                <w:color w:val="auto"/>
              </w:rPr>
            </w:pPr>
          </w:p>
        </w:tc>
      </w:tr>
      <w:tr>
        <w:trPr>
          <w:trHeight w:val="201"/>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right"/>
              <w:ind w:right="680"/>
              <w:spacing w:after="0" w:line="201" w:lineRule="exact"/>
              <w:rPr>
                <w:sz w:val="20"/>
                <w:szCs w:val="20"/>
                <w:color w:val="auto"/>
              </w:rPr>
            </w:pPr>
            <w:r>
              <w:rPr>
                <w:rFonts w:ascii="Times New Roman" w:cs="Times New Roman" w:eastAsia="Times New Roman" w:hAnsi="Times New Roman"/>
                <w:sz w:val="18"/>
                <w:szCs w:val="18"/>
                <w:b w:val="1"/>
                <w:bCs w:val="1"/>
                <w:color w:val="auto"/>
              </w:rPr>
              <w:t>Income</w:t>
            </w:r>
          </w:p>
        </w:tc>
        <w:tc>
          <w:tcPr>
            <w:tcW w:w="1700" w:type="dxa"/>
            <w:vAlign w:val="bottom"/>
            <w:tcBorders>
              <w:top w:val="single" w:sz="8" w:color="auto"/>
            </w:tcBorders>
            <w:gridSpan w:val="2"/>
          </w:tcPr>
          <w:p>
            <w:pPr>
              <w:jc w:val="center"/>
              <w:ind w:right="1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1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(Denominator)</w:t>
            </w:r>
          </w:p>
        </w:tc>
        <w:tc>
          <w:tcPr>
            <w:tcW w:w="240" w:type="dxa"/>
            <w:vAlign w:val="bottom"/>
          </w:tcPr>
          <w:p>
            <w:pPr>
              <w:spacing w:after="0"/>
              <w:rPr>
                <w:sz w:val="20"/>
                <w:szCs w:val="20"/>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4,824</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19,488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PSU’s and options</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earnings available to common stockholders plus assumed</w:t>
            </w: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4,824</w:t>
            </w:r>
          </w:p>
        </w:tc>
        <w:tc>
          <w:tcPr>
            <w:tcW w:w="1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19,563</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500" w:type="dxa"/>
            <w:vAlign w:val="bottom"/>
            <w:gridSpan w:val="2"/>
            <w:vMerge w:val="continue"/>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126,436 anti-dilutive shares have been excluded in the computation of EPS for the three months ended March 29,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636" w:gutter="0" w:footer="0" w:header="0"/>
        </w:sectPr>
      </w:pPr>
    </w:p>
    <w:bookmarkStart w:id="10" w:name="page11"/>
    <w:bookmarkEnd w:id="10"/>
    <w:tbl>
      <w:tblPr>
        <w:tblLayout w:type="fixed"/>
        <w:tblInd w:w="98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March 29, 2025</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680"/>
              <w:spacing w:after="0" w:line="201" w:lineRule="exact"/>
              <w:rPr>
                <w:sz w:val="20"/>
                <w:szCs w:val="20"/>
                <w:color w:val="auto"/>
              </w:rPr>
            </w:pPr>
            <w:r>
              <w:rPr>
                <w:rFonts w:ascii="Times New Roman" w:cs="Times New Roman" w:eastAsia="Times New Roman" w:hAnsi="Times New Roman"/>
                <w:sz w:val="18"/>
                <w:szCs w:val="18"/>
                <w:b w:val="1"/>
                <w:bCs w:val="1"/>
                <w:color w:val="auto"/>
              </w:rPr>
              <w:t>Income</w:t>
            </w:r>
          </w:p>
        </w:tc>
        <w:tc>
          <w:tcPr>
            <w:tcW w:w="1700" w:type="dxa"/>
            <w:vAlign w:val="bottom"/>
            <w:gridSpan w:val="2"/>
          </w:tcPr>
          <w:p>
            <w:pPr>
              <w:jc w:val="center"/>
              <w:ind w:right="1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360" w:type="dxa"/>
            <w:vAlign w:val="bottom"/>
          </w:tcPr>
          <w:p>
            <w:pPr>
              <w:spacing w:after="0"/>
              <w:rPr>
                <w:sz w:val="17"/>
                <w:szCs w:val="17"/>
                <w:color w:val="auto"/>
              </w:rPr>
            </w:pPr>
          </w:p>
        </w:tc>
        <w:tc>
          <w:tcPr>
            <w:tcW w:w="1140" w:type="dxa"/>
            <w:vAlign w:val="bottom"/>
          </w:tcPr>
          <w:p>
            <w:pPr>
              <w:jc w:val="center"/>
              <w:ind w:right="2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(Denominator)</w:t>
            </w:r>
          </w:p>
        </w:tc>
        <w:tc>
          <w:tcPr>
            <w:tcW w:w="360" w:type="dxa"/>
            <w:vAlign w:val="bottom"/>
          </w:tcPr>
          <w:p>
            <w:pPr>
              <w:spacing w:after="0"/>
              <w:rPr>
                <w:sz w:val="20"/>
                <w:szCs w:val="20"/>
                <w:color w:val="auto"/>
              </w:rPr>
            </w:pPr>
          </w:p>
        </w:tc>
        <w:tc>
          <w:tcPr>
            <w:tcW w:w="12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9,967</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19,480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PSU’s and options</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earnings available to common stockholders plus assumed</w:t>
            </w: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9,967</w:t>
            </w:r>
          </w:p>
        </w:tc>
        <w:tc>
          <w:tcPr>
            <w:tcW w:w="1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19,568</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500" w:type="dxa"/>
            <w:vAlign w:val="bottom"/>
            <w:gridSpan w:val="2"/>
            <w:vMerge w:val="continue"/>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108,068 anti-dilutive shares have been excluded in the computation of EPS for the six months ended March 29, 2025.</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ind w:left="980" w:right="340"/>
        <w:spacing w:after="0" w:line="282" w:lineRule="auto"/>
        <w:rPr>
          <w:sz w:val="20"/>
          <w:szCs w:val="20"/>
          <w:color w:val="auto"/>
        </w:rPr>
      </w:pPr>
      <w:r>
        <w:rPr>
          <w:rFonts w:ascii="Times New Roman" w:cs="Times New Roman" w:eastAsia="Times New Roman" w:hAnsi="Times New Roman"/>
          <w:sz w:val="18"/>
          <w:szCs w:val="18"/>
          <w:color w:val="auto"/>
        </w:rPr>
        <w:t>As of March 28, 2026, the Company has two stock-based employee compensation plans. Pre-tax share-based compensation expense was recognized as follows:</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1"/>
        </w:trPr>
        <w:tc>
          <w:tcPr>
            <w:tcW w:w="4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3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Pr>
          <w:p>
            <w:pPr>
              <w:spacing w:after="0"/>
              <w:rPr>
                <w:sz w:val="17"/>
                <w:szCs w:val="17"/>
                <w:color w:val="auto"/>
              </w:rPr>
            </w:pPr>
          </w:p>
        </w:tc>
      </w:tr>
      <w:tr>
        <w:trPr>
          <w:trHeight w:val="238"/>
        </w:trPr>
        <w:tc>
          <w:tcPr>
            <w:tcW w:w="4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32"/>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r>
      <w:tr>
        <w:trPr>
          <w:trHeight w:val="410"/>
        </w:trPr>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issued to outside directors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Service share units issued to employees</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1,829</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1,595</w:t>
            </w:r>
          </w:p>
        </w:tc>
      </w:tr>
      <w:tr>
        <w:trPr>
          <w:trHeight w:val="22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share units issued to employees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954</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r>
      <w:tr>
        <w:trPr>
          <w:trHeight w:val="263"/>
        </w:trPr>
        <w:tc>
          <w:tcPr>
            <w:tcW w:w="4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Borders>
              <w:bottom w:val="single" w:sz="8" w:color="CCEEFF"/>
            </w:tcBorders>
          </w:tcPr>
          <w:p>
            <w:pPr>
              <w:spacing w:after="0"/>
              <w:rPr>
                <w:sz w:val="22"/>
                <w:szCs w:val="22"/>
                <w:color w:val="auto"/>
              </w:rPr>
            </w:pPr>
          </w:p>
        </w:tc>
      </w:tr>
      <w:tr>
        <w:trPr>
          <w:trHeight w:val="196"/>
        </w:trPr>
        <w:tc>
          <w:tcPr>
            <w:tcW w:w="4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Tax 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bl>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options-pricing model.</w:t>
      </w:r>
    </w:p>
    <w:p>
      <w:pPr>
        <w:spacing w:after="0" w:line="225" w:lineRule="exact"/>
        <w:rPr>
          <w:sz w:val="20"/>
          <w:szCs w:val="20"/>
          <w:color w:val="auto"/>
        </w:rPr>
      </w:pPr>
    </w:p>
    <w:p>
      <w:pPr>
        <w:ind w:left="980" w:right="160"/>
        <w:spacing w:after="0" w:line="258" w:lineRule="auto"/>
        <w:rPr>
          <w:sz w:val="20"/>
          <w:szCs w:val="20"/>
          <w:color w:val="auto"/>
        </w:rPr>
      </w:pPr>
      <w:r>
        <w:rPr>
          <w:rFonts w:ascii="Times New Roman" w:cs="Times New Roman" w:eastAsia="Times New Roman" w:hAnsi="Times New Roman"/>
          <w:sz w:val="18"/>
          <w:szCs w:val="18"/>
          <w:color w:val="auto"/>
        </w:rPr>
        <w:t>Expected volatility is based on the historical volatility of the price of our common shares over the past 51 months for 5-year options and 10 years for 10-year options. We use historical information to estimate expected life and forfeitures within the valuation model. The expected term of awards represents the period of time that options granted are expected to be outstanding. The risk-free rate for periods within the expected life of the option is based on the U.S. Treasury yield curve in effect at the time of grant. Compensation cost is recognized using a straight-line method over the vesting or service period and is net of estimated forfeitures.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did not grant any stock options during the six months ended March 28, 2026, or during the six months ended March 29, 2025.</w:t>
      </w:r>
    </w:p>
    <w:p>
      <w:pPr>
        <w:spacing w:after="0" w:line="225" w:lineRule="exact"/>
        <w:rPr>
          <w:sz w:val="20"/>
          <w:szCs w:val="20"/>
          <w:color w:val="auto"/>
        </w:rPr>
      </w:pPr>
    </w:p>
    <w:p>
      <w:pPr>
        <w:ind w:left="980" w:right="40"/>
        <w:spacing w:after="0" w:line="261" w:lineRule="auto"/>
        <w:rPr>
          <w:sz w:val="20"/>
          <w:szCs w:val="20"/>
          <w:color w:val="auto"/>
        </w:rPr>
      </w:pPr>
      <w:r>
        <w:rPr>
          <w:rFonts w:ascii="Times New Roman" w:cs="Times New Roman" w:eastAsia="Times New Roman" w:hAnsi="Times New Roman"/>
          <w:sz w:val="18"/>
          <w:szCs w:val="18"/>
          <w:color w:val="auto"/>
        </w:rPr>
        <w:t>During the six months ended March 28, 2026, the Company issued 28,152 RSU’s. During the six months ended March 29, 2025, the Company issued 13,557 RSU’s. Each RSU entitles the awardee to one share of common stock upon vesting. The fair value of the RSU’s was determined based upon the closing price of the Company’s common stock on the date of grant. No such RSU’s were issued in the three months ended March 28, 2026, or in the three months March 29, 2025.</w:t>
      </w:r>
    </w:p>
    <w:p>
      <w:pPr>
        <w:spacing w:after="0" w:line="180" w:lineRule="exact"/>
        <w:rPr>
          <w:sz w:val="20"/>
          <w:szCs w:val="20"/>
          <w:color w:val="auto"/>
        </w:rPr>
      </w:pPr>
    </w:p>
    <w:p>
      <w:pPr>
        <w:ind w:left="980" w:right="40"/>
        <w:spacing w:after="0" w:line="256" w:lineRule="auto"/>
        <w:rPr>
          <w:sz w:val="20"/>
          <w:szCs w:val="20"/>
          <w:color w:val="auto"/>
        </w:rPr>
      </w:pPr>
      <w:r>
        <w:rPr>
          <w:rFonts w:ascii="Times New Roman" w:cs="Times New Roman" w:eastAsia="Times New Roman" w:hAnsi="Times New Roman"/>
          <w:sz w:val="18"/>
          <w:szCs w:val="18"/>
          <w:color w:val="auto"/>
        </w:rPr>
        <w:t>During the six months ended March 28, 2026, the Company also issued 28,144 PSU’s. During the six months ended March 29, 2025, the Company issued 13,548 PSU’s. Each PSU may result in the issuance of up to two shares of common stock upon vesting, dependent upon the level of achievement of the applicable performance goal. The fair value of the PSU’s was determined based upon the closing price of the Company’s common stock on the date of grant. Additionally, the Company applies a quarterly probability assessment in computing this non-cash compensation expense, and any change in estimate is reflected as a cumulative adjustment to expense in the quarter of the change. No such PSU’s were issued in the three months ended March 28, 2026, or in the three months ended March 29, 2025.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We account for our income taxes under the liability method. Under the liability method, deferred tax assets and liabilities are determined based on the difference between the financial statement and tax bases of assets and liabilities as measured by the enacted tax rates that will be in effect when these differences reverse. Deferred tax expense is the result of changes in deferred tax assets and liabilities.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90" w:right="419" w:bottom="501" w:gutter="0" w:footer="0" w:header="0"/>
        </w:sectPr>
      </w:pPr>
    </w:p>
    <w:bookmarkStart w:id="11" w:name="page12"/>
    <w:bookmarkEnd w:id="11"/>
    <w:p>
      <w:pPr>
        <w:ind w:left="980"/>
        <w:spacing w:after="0" w:line="266" w:lineRule="auto"/>
        <w:rPr>
          <w:sz w:val="20"/>
          <w:szCs w:val="20"/>
          <w:color w:val="auto"/>
        </w:rPr>
      </w:pPr>
      <w:r>
        <w:rPr>
          <w:rFonts w:ascii="Times New Roman" w:cs="Times New Roman" w:eastAsia="Times New Roman" w:hAnsi="Times New Roman"/>
          <w:sz w:val="18"/>
          <w:szCs w:val="18"/>
          <w:color w:val="auto"/>
        </w:rPr>
        <w:t>Additionally, we recognize a liability for income taxes and associated penalties and interest for tax positions taken or expected to be taken in a tax return which are more likely than not to be overturned by taxing authorities (“uncertain tax positions”). We have not recognized a tax benefit in our financial statements for these uncertain tax positions.</w:t>
      </w:r>
    </w:p>
    <w:p>
      <w:pPr>
        <w:spacing w:after="0" w:line="176" w:lineRule="exact"/>
        <w:rPr>
          <w:sz w:val="20"/>
          <w:szCs w:val="20"/>
          <w:color w:val="auto"/>
        </w:rPr>
      </w:pPr>
    </w:p>
    <w:p>
      <w:pPr>
        <w:ind w:left="980" w:right="180"/>
        <w:spacing w:after="0" w:line="261" w:lineRule="auto"/>
        <w:rPr>
          <w:sz w:val="20"/>
          <w:szCs w:val="20"/>
          <w:color w:val="auto"/>
        </w:rPr>
      </w:pPr>
      <w:r>
        <w:rPr>
          <w:rFonts w:ascii="Times New Roman" w:cs="Times New Roman" w:eastAsia="Times New Roman" w:hAnsi="Times New Roman"/>
          <w:sz w:val="18"/>
          <w:szCs w:val="18"/>
          <w:color w:val="auto"/>
        </w:rPr>
        <w:t>The total amount of gross unrecognized tax benefits is $0.3 million on both March 28, 2026 and September 27, 2025, all of which would impact our effective tax rate over time, if recognized. We recognize interest and penalties related to uncertain tax positions as a part of the provision for income taxes. As of March 28, 2026 and September 27, 2025, the Company has $0.3 million of accrued interest and penalties, respectively.</w:t>
      </w:r>
    </w:p>
    <w:p>
      <w:pPr>
        <w:spacing w:after="0" w:line="180" w:lineRule="exact"/>
        <w:rPr>
          <w:sz w:val="20"/>
          <w:szCs w:val="20"/>
          <w:color w:val="auto"/>
        </w:rPr>
      </w:pPr>
    </w:p>
    <w:p>
      <w:pPr>
        <w:ind w:left="980" w:right="100"/>
        <w:spacing w:after="0" w:line="282" w:lineRule="auto"/>
        <w:rPr>
          <w:sz w:val="20"/>
          <w:szCs w:val="20"/>
          <w:color w:val="auto"/>
        </w:rPr>
      </w:pPr>
      <w:r>
        <w:rPr>
          <w:rFonts w:ascii="Times New Roman" w:cs="Times New Roman" w:eastAsia="Times New Roman" w:hAnsi="Times New Roman"/>
          <w:sz w:val="18"/>
          <w:szCs w:val="18"/>
          <w:color w:val="auto"/>
        </w:rPr>
        <w:t>In addition to our federal tax return and tax returns for Mexico, Canada and Netherlands, we file tax returns in all states that have a corporate income tax. Virtually all the returns noted above are open for examination for three to four years.</w:t>
      </w:r>
    </w:p>
    <w:p>
      <w:pPr>
        <w:spacing w:after="0" w:line="162" w:lineRule="exact"/>
        <w:rPr>
          <w:sz w:val="20"/>
          <w:szCs w:val="20"/>
          <w:color w:val="auto"/>
        </w:rPr>
      </w:pPr>
    </w:p>
    <w:p>
      <w:pPr>
        <w:ind w:left="980" w:right="200"/>
        <w:spacing w:after="0" w:line="261" w:lineRule="auto"/>
        <w:rPr>
          <w:sz w:val="20"/>
          <w:szCs w:val="20"/>
          <w:color w:val="auto"/>
        </w:rPr>
      </w:pPr>
      <w:r>
        <w:rPr>
          <w:rFonts w:ascii="Times New Roman" w:cs="Times New Roman" w:eastAsia="Times New Roman" w:hAnsi="Times New Roman"/>
          <w:sz w:val="18"/>
          <w:szCs w:val="18"/>
          <w:color w:val="auto"/>
        </w:rPr>
        <w:t>Our effective tax rate for the three months and six months ended March 28, 2026 was 28.1%, and 27.7%, respectively, both of which are higher than the company’s 21.0% statutory tax rate primarily due to state income taxes, and the tax effect in foreign jurisdictions. Our effective tax rate was 27.2% in both the three and six months ended March 29, 2025, which was higher than the company’s 21.0% statutory tax rate primarily due to state income taxes, and the tax effect in foreign jurisdictions.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New Accounting Pronouncements and Policies</w:t>
      </w:r>
    </w:p>
    <w:p>
      <w:pPr>
        <w:spacing w:after="0" w:line="229"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guidance enhances the transparency around income tax information through improvements to income tax disclosures, primarily related to the effective rate reconciliation and income taxes paid, to improve the overall effectiveness of income tax disclosures. The amendments in the ASU are effective for fiscal years beginning after December 15, 2024, with early adoption permitted. We are currently assessing the impact of the guidance on our consolidated financial statements and disclosures.</w:t>
      </w:r>
    </w:p>
    <w:p>
      <w:pPr>
        <w:spacing w:after="0" w:line="183" w:lineRule="exact"/>
        <w:rPr>
          <w:sz w:val="20"/>
          <w:szCs w:val="20"/>
          <w:color w:val="auto"/>
        </w:rPr>
      </w:pPr>
    </w:p>
    <w:p>
      <w:pPr>
        <w:ind w:left="980" w:right="16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This guidance improves disclosure requirements and provides more detailed information around an entity’s expenses, specifically amounts related to purchases of inventory, employee compensation, depreciation, intangible asset amortization, and selling expenses, along with qualitative descriptions of certain other types of expenses. This guidance is effective for fiscal years beginning after December 15, 2026, and interim periods within fiscal years beginning after December 15, 2027, with early adoption permitted. We are currently assessing the impact of the guidance on our consolidated financial statements and disclosures.</w:t>
      </w:r>
    </w:p>
    <w:p>
      <w:pPr>
        <w:spacing w:after="0" w:line="187" w:lineRule="exact"/>
        <w:rPr>
          <w:sz w:val="20"/>
          <w:szCs w:val="20"/>
          <w:color w:val="auto"/>
        </w:rPr>
      </w:pPr>
    </w:p>
    <w:p>
      <w:pPr>
        <w:ind w:left="980" w:right="180"/>
        <w:spacing w:after="0" w:line="261"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 – Credit Losses (Topic 326).” This guidance introduces a practical expedient for all entities with qualifying assets to assume that current conditions remain unchanged for the remaining life of the asset with estimated credit losses. The amendments in the ASU are effective for fiscal years beginning after December 15, 2025, with early adoption permitted. We are currently assessing the impact of the guidance on our consolidated financial statements and disclosures.</w:t>
      </w:r>
    </w:p>
    <w:p>
      <w:pPr>
        <w:spacing w:after="0" w:line="180" w:lineRule="exact"/>
        <w:rPr>
          <w:sz w:val="20"/>
          <w:szCs w:val="20"/>
          <w:color w:val="auto"/>
        </w:rPr>
      </w:pPr>
    </w:p>
    <w:p>
      <w:pPr>
        <w:ind w:left="980" w:right="60"/>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Internal-Use Software (Subtopic 350-40).” This authoritative guidance modernizes the accounting for internal use software costs including the elimination of the stage-based capitalization model and updated disclosure requirements. The guidance is effective for annual reporting periods beginning after December 15, 2027, and interim reporting periods within those annual reporting periods. Amendments can be applied using a prospective transition approach, a modified transition approach, or a retrospective transition approach. We are currently assessing the impact of the guidance on our consolidated financial statements and disclosures.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2" w:name="page13"/>
    <w:bookmarkEnd w:id="1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9" w:lineRule="exact"/>
        <w:rPr>
          <w:sz w:val="20"/>
          <w:szCs w:val="20"/>
          <w:color w:val="auto"/>
        </w:rPr>
      </w:pPr>
    </w:p>
    <w:p>
      <w:pPr>
        <w:ind w:left="980" w:right="300"/>
        <w:spacing w:after="0" w:line="282" w:lineRule="auto"/>
        <w:rPr>
          <w:sz w:val="20"/>
          <w:szCs w:val="20"/>
          <w:color w:val="auto"/>
        </w:rPr>
      </w:pPr>
      <w:r>
        <w:rPr>
          <w:rFonts w:ascii="Times New Roman" w:cs="Times New Roman" w:eastAsia="Times New Roman" w:hAnsi="Times New Roman"/>
          <w:sz w:val="18"/>
          <w:szCs w:val="18"/>
          <w:color w:val="auto"/>
        </w:rPr>
        <w:t>In December 2021, the Company entered into an amended and restated loan agreement (the “Credit Agreement”) with our existing banks which provided for up to a $50 million revolving credit facility repayable in December 2026.</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Interest accrues, at the Company’s election at (i) the SOFR Rate (as defined in the Credit Agreement), plus an applicable margin, based upon the Consolidated Net Leverage Ratio, as defined in the Credit Agreement, or (ii) the Alternate Base Rate (a rate based on the higher of (a) the prime rate announced from time-to-time by the Administrative Agent, (b) the Federal Reserve System’s federal funds rate, plus 0.50% or (c) the Daily SOFR Rate, plus an applicable margin). The Alternate Base Rate is defined in the Credit Agreement.</w:t>
      </w:r>
    </w:p>
    <w:p>
      <w:pPr>
        <w:spacing w:after="0" w:line="180" w:lineRule="exact"/>
        <w:rPr>
          <w:sz w:val="20"/>
          <w:szCs w:val="20"/>
          <w:color w:val="auto"/>
        </w:rPr>
      </w:pPr>
    </w:p>
    <w:p>
      <w:pPr>
        <w:ind w:left="980" w:right="40"/>
        <w:spacing w:after="0" w:line="256" w:lineRule="auto"/>
        <w:rPr>
          <w:sz w:val="20"/>
          <w:szCs w:val="20"/>
          <w:color w:val="auto"/>
        </w:rPr>
      </w:pPr>
      <w:r>
        <w:rPr>
          <w:rFonts w:ascii="Times New Roman" w:cs="Times New Roman" w:eastAsia="Times New Roman" w:hAnsi="Times New Roman"/>
          <w:sz w:val="18"/>
          <w:szCs w:val="18"/>
          <w:color w:val="auto"/>
        </w:rPr>
        <w:t>The Credit Agreement requires the Company to comply with various affirmative and negative covenants, including without limitation (i) covenants to maintain a minimum specified interest coverage ratio and maximum specified net leverage ratio, and (ii) subject to certain exceptions, covenants that prevent or restrict the Company’s ability to pay dividends, engage in certain mergers or acquisitions, make certain investments or loans, incur future indebtedness, alter its capital structure or line of business, prepay subordinated indebtedness, engage in certain transactions with affiliates, or amend its organizational documents. As of March 28, 2026, the Company is in compliance with all financial covenants and terms of the Credit Agreement.</w:t>
      </w:r>
    </w:p>
    <w:p>
      <w:pPr>
        <w:spacing w:after="0" w:line="187" w:lineRule="exact"/>
        <w:rPr>
          <w:sz w:val="20"/>
          <w:szCs w:val="20"/>
          <w:color w:val="auto"/>
        </w:rPr>
      </w:pPr>
    </w:p>
    <w:p>
      <w:pPr>
        <w:ind w:left="980" w:right="20"/>
        <w:spacing w:after="0" w:line="261" w:lineRule="auto"/>
        <w:rPr>
          <w:sz w:val="20"/>
          <w:szCs w:val="20"/>
          <w:color w:val="auto"/>
        </w:rPr>
      </w:pPr>
      <w:r>
        <w:rPr>
          <w:rFonts w:ascii="Times New Roman" w:cs="Times New Roman" w:eastAsia="Times New Roman" w:hAnsi="Times New Roman"/>
          <w:sz w:val="18"/>
          <w:szCs w:val="18"/>
          <w:color w:val="auto"/>
        </w:rPr>
        <w:t>On June 21, 2022, the Company entered into an amendment to the Credit Agreement, the “Amended Credit Agreement” which provided for an incremental increase of $175 million in available borrowings. The Amended Credit Agreement also includes an option to increase the size of the revolving credit facility by up to an amount not to exceed in the aggregate the greater of $225 million or $50 million plus the Consolidated EBITDA of the Borrowers, subject to the satisfaction of certain terms and conditions.</w:t>
      </w:r>
    </w:p>
    <w:p>
      <w:pPr>
        <w:spacing w:after="0" w:line="180" w:lineRule="exact"/>
        <w:rPr>
          <w:sz w:val="20"/>
          <w:szCs w:val="20"/>
          <w:color w:val="auto"/>
        </w:rPr>
      </w:pPr>
    </w:p>
    <w:p>
      <w:pPr>
        <w:ind w:left="980" w:right="80"/>
        <w:spacing w:after="0" w:line="261" w:lineRule="auto"/>
        <w:rPr>
          <w:sz w:val="20"/>
          <w:szCs w:val="20"/>
          <w:color w:val="auto"/>
        </w:rPr>
      </w:pPr>
      <w:r>
        <w:rPr>
          <w:rFonts w:ascii="Times New Roman" w:cs="Times New Roman" w:eastAsia="Times New Roman" w:hAnsi="Times New Roman"/>
          <w:sz w:val="18"/>
          <w:szCs w:val="18"/>
          <w:color w:val="auto"/>
        </w:rPr>
        <w:t>As of March 28, 2026, $29.0 million was outstanding under the Amended Credit Agreement with a weighted average interest rate of 6.75%. Given that the Amended Credit Agreement is set to expire in December 2026, these borrowings have been classified as Current Portion of Long-Term Debt on the Company’s Balance Sheet. As of March 28, 2026, the amount available under the Amended Credit Agreement was $181.2 million, after giving effect to the outstanding letters of credit.</w:t>
      </w:r>
    </w:p>
    <w:p>
      <w:pPr>
        <w:spacing w:after="0" w:line="180" w:lineRule="exact"/>
        <w:rPr>
          <w:sz w:val="20"/>
          <w:szCs w:val="20"/>
          <w:color w:val="auto"/>
        </w:rPr>
      </w:pPr>
    </w:p>
    <w:p>
      <w:pPr>
        <w:ind w:left="980" w:right="140"/>
        <w:spacing w:after="0" w:line="282" w:lineRule="auto"/>
        <w:rPr>
          <w:sz w:val="20"/>
          <w:szCs w:val="20"/>
          <w:color w:val="auto"/>
        </w:rPr>
      </w:pPr>
      <w:r>
        <w:rPr>
          <w:rFonts w:ascii="Times New Roman" w:cs="Times New Roman" w:eastAsia="Times New Roman" w:hAnsi="Times New Roman"/>
          <w:sz w:val="18"/>
          <w:szCs w:val="18"/>
          <w:color w:val="auto"/>
        </w:rPr>
        <w:t>As of September 27, 2025, there was no outstanding balance under the Amended Credit Agreement. As of September 27, 2025, the amount available under the Amended Credit Agreement was $210.2 million, after giving effect to the outstanding letters of credit.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w:t>
            </w:r>
          </w:p>
        </w:tc>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9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140" w:type="dxa"/>
            <w:vAlign w:val="bottom"/>
          </w:tcPr>
          <w:p>
            <w:pPr>
              <w:spacing w:after="0"/>
              <w:rPr>
                <w:sz w:val="24"/>
                <w:szCs w:val="24"/>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27,</w:t>
            </w:r>
          </w:p>
        </w:tc>
      </w:tr>
      <w:tr>
        <w:trPr>
          <w:trHeight w:val="238"/>
        </w:trPr>
        <w:tc>
          <w:tcPr>
            <w:tcW w:w="9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187"/>
        </w:trPr>
        <w:tc>
          <w:tcPr>
            <w:tcW w:w="9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9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9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86,699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89,512</w:t>
            </w:r>
          </w:p>
        </w:tc>
      </w:tr>
      <w:tr>
        <w:trPr>
          <w:trHeight w:val="216"/>
        </w:trPr>
        <w:tc>
          <w:tcPr>
            <w:tcW w:w="9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32,448</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32,259</w:t>
            </w:r>
          </w:p>
        </w:tc>
      </w:tr>
      <w:tr>
        <w:trPr>
          <w:trHeight w:val="216"/>
        </w:trPr>
        <w:tc>
          <w:tcPr>
            <w:tcW w:w="9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Packaging materials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12,493</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11,122</w:t>
            </w:r>
          </w:p>
        </w:tc>
      </w:tr>
      <w:tr>
        <w:trPr>
          <w:trHeight w:val="230"/>
        </w:trPr>
        <w:tc>
          <w:tcPr>
            <w:tcW w:w="98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Equipment parts and other</w:t>
            </w:r>
          </w:p>
        </w:tc>
        <w:tc>
          <w:tcPr>
            <w:tcW w:w="20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39,921</w:t>
            </w:r>
          </w:p>
        </w:tc>
        <w:tc>
          <w:tcPr>
            <w:tcW w:w="1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42,280</w:t>
            </w:r>
          </w:p>
        </w:tc>
      </w:tr>
      <w:tr>
        <w:trPr>
          <w:trHeight w:val="223"/>
        </w:trPr>
        <w:tc>
          <w:tcPr>
            <w:tcW w:w="980" w:type="dxa"/>
            <w:vAlign w:val="bottom"/>
          </w:tcPr>
          <w:p>
            <w:pPr>
              <w:spacing w:after="0"/>
              <w:rPr>
                <w:sz w:val="19"/>
                <w:szCs w:val="19"/>
                <w:color w:val="auto"/>
              </w:rPr>
            </w:pPr>
          </w:p>
        </w:tc>
        <w:tc>
          <w:tcPr>
            <w:tcW w:w="67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ind w:left="980" w:right="140"/>
        <w:spacing w:after="0" w:line="282" w:lineRule="auto"/>
        <w:rPr>
          <w:sz w:val="20"/>
          <w:szCs w:val="20"/>
          <w:color w:val="auto"/>
        </w:rPr>
      </w:pPr>
      <w:r>
        <w:rPr>
          <w:rFonts w:ascii="Times New Roman" w:cs="Times New Roman" w:eastAsia="Times New Roman" w:hAnsi="Times New Roman"/>
          <w:sz w:val="18"/>
          <w:szCs w:val="18"/>
          <w:color w:val="auto"/>
        </w:rPr>
        <w:t>Our financial results are presented as three reportable segments: Food Service, Retail Supermarkets and Frozen Beverages. These segments are described below: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Food Service</w:t>
      </w:r>
    </w:p>
    <w:p>
      <w:pPr>
        <w:spacing w:after="0" w:line="225" w:lineRule="exact"/>
        <w:rPr>
          <w:sz w:val="20"/>
          <w:szCs w:val="20"/>
          <w:color w:val="auto"/>
        </w:rPr>
      </w:pPr>
    </w:p>
    <w:p>
      <w:pPr>
        <w:ind w:left="980" w:right="40"/>
        <w:spacing w:after="0" w:line="258" w:lineRule="auto"/>
        <w:rPr>
          <w:sz w:val="20"/>
          <w:szCs w:val="20"/>
          <w:color w:val="auto"/>
        </w:rPr>
      </w:pPr>
      <w:r>
        <w:rPr>
          <w:rFonts w:ascii="Times New Roman" w:cs="Times New Roman" w:eastAsia="Times New Roman" w:hAnsi="Times New Roman"/>
          <w:sz w:val="18"/>
          <w:szCs w:val="18"/>
          <w:color w:val="auto"/>
        </w:rPr>
        <w:t>The primary products sold by the Food Service segment are soft pretzels, frozen novelties, churros, handheld products and baked goods. Our customers in the Food Service segment include snack bars and food stands in chain, department and discount stores; malls and shopping centers; casual dining restaurants; fast food and casual dining restaurants; stadiums and sports arenas; leisure and theme parks; convenience stores; movie theatres; warehouse club stores; schools, colleges and other institutions. Within the food service industry, our products are purchased by the consumer primarily for consumption at the point-of-sale or for take-away.</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19"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Retail Supermarkets</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primary products sold to the retail supermarket channel are soft pretzel products – including SUPERPRETZEL and AUNTIE ANNE’S, frozen novelties including LUIGI’S Real Italian Ice, MINUTE MAID Juice Bars and Soft Frozen Lemonade, WHOLE FRUIT frozen fruit bars and sorbet, DOGSTERS ice cream style treats for dogs, PHILLY SWIRL cups and sticks, ICEE Squeeze-Up Tubes and handheld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Frozen Beverages</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sell frozen beverages to the foodservice industry primarily under the names ICEE, SLUSH PUPPIE and PARROT ICE in the United States, Mexico and Canada. We also provide repair and maintenance services to customers for customer-owned equipment.</w:t>
      </w:r>
    </w:p>
    <w:p>
      <w:pPr>
        <w:spacing w:after="0" w:line="162"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We principally sell our products to the food service and retail supermarket industries. Sales and results of our frozen beverages business are monitored separately from the balance of our food service business because of different distribution and capital requirements. We maintain separate and discrete financial information for the three operating segments mentioned above which is available to our Chief Operating Decision Maker, who is our Chief Executive Officer. We have applied no aggregation criteria to any of these operating segments in order to determine reportable segments. All inter-segment net sales and expenses have been eliminated in computing net sales and operating income.</w:t>
      </w:r>
    </w:p>
    <w:p>
      <w:pPr>
        <w:spacing w:after="0" w:line="1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Chief Operating Decision Maker reviews monthly detailed operating income statements and sales reports in order to assess performance and allocate resources to each individual segment. Sales and operating income are key variables monitored by the Chief Operating Decision Maker when determining each segment and the Company’s financial condition and operating performance.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Significant expenses are expenses which are regularly provided to the Chief Operating Decision Maker and are included in segment operating income. These consist of cost of sales, marketing and selling expenses, distribution expenses, administrative expenses, intangible asset impairment charges, and other general expenses. Cost of sales includes raw materials, direct labor and plant overhead costs. Distribution expenses include costs associated with the transportation of our products to customers. Marketing and selling expenses include costs to execute sales to customers, and costs related to the selling, marketing, advertising and promotional activities. Administrative expenses include costs that are not directly tied to the manufacturing, distribution, or marketing and selling of our products.</w:t>
      </w:r>
    </w:p>
    <w:p>
      <w:pPr>
        <w:spacing w:after="0" w:line="18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Costs that are directly attributable to our Food Service, Retail Supermarkets, or Frozen Beverages segments are charged directly to the appropriate segment. Costs that are deemed to be indirect, excluding unallocated general corporate expenses and other unusual significant transactions such as gain on insurance proceeds received for damage to property, plant and equipment, and plant closure expenses, are allocated to the three reportable segment using a reasonable methodology that is consistently applied.</w:t>
      </w:r>
    </w:p>
    <w:p>
      <w:pPr>
        <w:spacing w:after="0" w:line="180"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To align with how our Chief Operating Decision Maker currently reviews the monthly detailed operating income statements, we have reclassified certain corporate expenses that are not allocated to our three reportable segments. This change in presentation resulted in an increase to our Food Service segment operating income of $6.2 million and $13.4 million, to our Retail segment operating income of $0.7 million and $1.5 million, and to our Frozen Beverage segment of $0.5 million and $1.0 million, in the three and six months ended March 29, 2025, respectively, with the corresponding impacts of the presentation change seen within General corporate expenses in the table below.</w:t>
      </w:r>
    </w:p>
    <w:p>
      <w:pPr>
        <w:spacing w:after="0" w:line="1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the Chief Operating Decision Maker reviews and evaluates capital spending of each segment on a quarterly basis to monitor cash flow and asset needs of each segment. Additionally, our Chief Operating Decision Maker considers variances of actual performance to our annual operating plan and periodic forecasts when making decisions.</w:t>
      </w:r>
    </w:p>
    <w:p>
      <w:pPr>
        <w:spacing w:after="0" w:line="17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58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Information regarding the operations in these three reportable segments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11"/>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Three months ended March 28, 2026</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1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March 28, 2026</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Food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6"/>
          </w:tcPr>
          <w:p>
            <w:pPr>
              <w:jc w:val="center"/>
              <w:ind w:right="82"/>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Food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8"/>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Frozen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0" w:type="dxa"/>
            <w:vAlign w:val="bottom"/>
          </w:tcPr>
          <w:p>
            <w:pPr>
              <w:spacing w:after="0"/>
              <w:rPr>
                <w:sz w:val="14"/>
                <w:szCs w:val="14"/>
                <w:color w:val="auto"/>
              </w:rPr>
            </w:pPr>
          </w:p>
        </w:tc>
        <w:tc>
          <w:tcPr>
            <w:tcW w:w="10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Frozen</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8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Supermarket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220" w:type="dxa"/>
            <w:vAlign w:val="bottom"/>
          </w:tcPr>
          <w:p>
            <w:pPr>
              <w:spacing w:after="0"/>
              <w:rPr>
                <w:sz w:val="15"/>
                <w:szCs w:val="15"/>
                <w:color w:val="auto"/>
              </w:rPr>
            </w:pPr>
          </w:p>
        </w:tc>
        <w:tc>
          <w:tcPr>
            <w:tcW w:w="8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8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Supermarket</w:t>
            </w:r>
          </w:p>
        </w:tc>
        <w:tc>
          <w:tcPr>
            <w:tcW w:w="160" w:type="dxa"/>
            <w:vAlign w:val="bottom"/>
          </w:tcPr>
          <w:p>
            <w:pPr>
              <w:spacing w:after="0"/>
              <w:rPr>
                <w:sz w:val="15"/>
                <w:szCs w:val="15"/>
                <w:color w:val="auto"/>
              </w:rPr>
            </w:pPr>
          </w:p>
        </w:tc>
        <w:tc>
          <w:tcPr>
            <w:tcW w:w="10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80" w:type="dxa"/>
            <w:vAlign w:val="bottom"/>
          </w:tcPr>
          <w:p>
            <w:pPr>
              <w:spacing w:after="0"/>
              <w:rPr>
                <w:sz w:val="15"/>
                <w:szCs w:val="15"/>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sales to external customers</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214,665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51,620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78,534</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344,819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433,821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97,502</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157,274</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688,597</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Less: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 of goods sold</w:t>
            </w:r>
          </w:p>
        </w:tc>
        <w:tc>
          <w:tcPr>
            <w:tcW w:w="100" w:type="dxa"/>
            <w:vAlign w:val="bottom"/>
          </w:tcPr>
          <w:p>
            <w:pPr>
              <w:spacing w:after="0"/>
              <w:rPr>
                <w:sz w:val="14"/>
                <w:szCs w:val="14"/>
                <w:color w:val="auto"/>
              </w:rPr>
            </w:pP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149,550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40,559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w w:val="96"/>
              </w:rPr>
              <w:t>245,527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306,687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75,538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111,068</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493,293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Segment gross profit</w:t>
            </w: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65,115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11,061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23,116</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99,292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127,134</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21,964</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46,206</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195,304</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Marketing and selling</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16,880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4,121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9,082</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30,083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35,104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8,034</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18,444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61,582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Distribution</w:t>
            </w:r>
          </w:p>
        </w:tc>
        <w:tc>
          <w:tcPr>
            <w:tcW w:w="100" w:type="dxa"/>
            <w:vAlign w:val="bottom"/>
          </w:tcPr>
          <w:p>
            <w:pPr>
              <w:spacing w:after="0"/>
              <w:rPr>
                <w:sz w:val="12"/>
                <w:szCs w:val="12"/>
                <w:color w:val="auto"/>
              </w:rPr>
            </w:pPr>
          </w:p>
        </w:tc>
        <w:tc>
          <w:tcPr>
            <w:tcW w:w="7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29,275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6,315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6,147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41,737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55,805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11,577</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12,411</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79,793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Administrative</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8,204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12,637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15,347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1,578</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6,731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23,656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general expense</w:t>
            </w:r>
          </w:p>
        </w:tc>
        <w:tc>
          <w:tcPr>
            <w:tcW w:w="10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(172)</w:t>
            </w:r>
          </w:p>
        </w:tc>
        <w:tc>
          <w:tcPr>
            <w:tcW w:w="24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Segment operating income</w:t>
            </w: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10,855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4,636</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15,106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20,954</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775</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8,685</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30,414</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General corporate expenses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8,547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17,905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Gain on insurance proceeds received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for damage to property, plant, and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71"/>
        </w:trPr>
        <w:tc>
          <w:tcPr>
            <w:tcW w:w="2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equipment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Plant closure expense</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4,756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10,869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320"/>
              <w:spacing w:after="0" w:line="155" w:lineRule="exact"/>
              <w:rPr>
                <w:sz w:val="20"/>
                <w:szCs w:val="20"/>
                <w:color w:val="auto"/>
              </w:rPr>
            </w:pPr>
            <w:r>
              <w:rPr>
                <w:rFonts w:ascii="Times New Roman" w:cs="Times New Roman" w:eastAsia="Times New Roman" w:hAnsi="Times New Roman"/>
                <w:sz w:val="14"/>
                <w:szCs w:val="14"/>
                <w:color w:val="auto"/>
              </w:rPr>
              <w:t>Operating income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1,803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2,440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1"/>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March 29, 2025</w:t>
            </w: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Food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6"/>
          </w:tcPr>
          <w:p>
            <w:pPr>
              <w:jc w:val="center"/>
              <w:ind w:right="82"/>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Food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8"/>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Frozen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0" w:type="dxa"/>
            <w:vAlign w:val="bottom"/>
          </w:tcPr>
          <w:p>
            <w:pPr>
              <w:spacing w:after="0"/>
              <w:rPr>
                <w:sz w:val="14"/>
                <w:szCs w:val="14"/>
                <w:color w:val="auto"/>
              </w:rPr>
            </w:pPr>
          </w:p>
        </w:tc>
        <w:tc>
          <w:tcPr>
            <w:tcW w:w="10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Frozen</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8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Supermarket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220" w:type="dxa"/>
            <w:vAlign w:val="bottom"/>
          </w:tcPr>
          <w:p>
            <w:pPr>
              <w:spacing w:after="0"/>
              <w:rPr>
                <w:sz w:val="15"/>
                <w:szCs w:val="15"/>
                <w:color w:val="auto"/>
              </w:rPr>
            </w:pPr>
          </w:p>
        </w:tc>
        <w:tc>
          <w:tcPr>
            <w:tcW w:w="8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8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Supermarket</w:t>
            </w:r>
          </w:p>
        </w:tc>
        <w:tc>
          <w:tcPr>
            <w:tcW w:w="160" w:type="dxa"/>
            <w:vAlign w:val="bottom"/>
          </w:tcPr>
          <w:p>
            <w:pPr>
              <w:spacing w:after="0"/>
              <w:rPr>
                <w:sz w:val="15"/>
                <w:szCs w:val="15"/>
                <w:color w:val="auto"/>
              </w:rPr>
            </w:pPr>
          </w:p>
        </w:tc>
        <w:tc>
          <w:tcPr>
            <w:tcW w:w="10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80" w:type="dxa"/>
            <w:vAlign w:val="bottom"/>
          </w:tcPr>
          <w:p>
            <w:pPr>
              <w:spacing w:after="0"/>
              <w:rPr>
                <w:sz w:val="15"/>
                <w:szCs w:val="15"/>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sales to external customers</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226,053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53,848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76,198</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356,099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464,936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98,565</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155,196</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718,697</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Less: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 of goods sold</w:t>
            </w:r>
          </w:p>
        </w:tc>
        <w:tc>
          <w:tcPr>
            <w:tcW w:w="100" w:type="dxa"/>
            <w:vAlign w:val="bottom"/>
          </w:tcPr>
          <w:p>
            <w:pPr>
              <w:spacing w:after="0"/>
              <w:rPr>
                <w:sz w:val="14"/>
                <w:szCs w:val="14"/>
                <w:color w:val="auto"/>
              </w:rPr>
            </w:pP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166,531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38,783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55,082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w w:val="96"/>
              </w:rPr>
              <w:t>260,396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344,938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73,029</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111,126</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529,093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Segment gross profit</w:t>
            </w: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59,522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15,065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21,116</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95,703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119,998</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25,536</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44,070</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189,604</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Marketing and selling</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15,424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4,253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28,507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31,386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8,025</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17,765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57,176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Distribution</w:t>
            </w:r>
          </w:p>
        </w:tc>
        <w:tc>
          <w:tcPr>
            <w:tcW w:w="100" w:type="dxa"/>
            <w:vAlign w:val="bottom"/>
          </w:tcPr>
          <w:p>
            <w:pPr>
              <w:spacing w:after="0"/>
              <w:rPr>
                <w:sz w:val="12"/>
                <w:szCs w:val="12"/>
                <w:color w:val="auto"/>
              </w:rPr>
            </w:pPr>
          </w:p>
        </w:tc>
        <w:tc>
          <w:tcPr>
            <w:tcW w:w="7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29,243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6,584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41,833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57,533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11,541</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12,369</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81,443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Administrative</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7,686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12,278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14,892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1,267</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6,565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22,724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general expense</w:t>
            </w:r>
          </w:p>
        </w:tc>
        <w:tc>
          <w:tcPr>
            <w:tcW w:w="100" w:type="dxa"/>
            <w:vAlign w:val="bottom"/>
          </w:tcPr>
          <w:p>
            <w:pPr>
              <w:spacing w:after="0"/>
              <w:rPr>
                <w:sz w:val="14"/>
                <w:szCs w:val="14"/>
                <w:color w:val="auto"/>
              </w:rPr>
            </w:pPr>
          </w:p>
        </w:tc>
        <w:tc>
          <w:tcPr>
            <w:tcW w:w="7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(118)</w:t>
            </w:r>
          </w:p>
        </w:tc>
        <w:tc>
          <w:tcPr>
            <w:tcW w:w="24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Segment operating income</w:t>
            </w: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7,465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3,512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2,522</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13,499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16,279</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4,703</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7,213</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28,195</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General corporate expenses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7,476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15,933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Gain on insurance proceeds received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for damage to property, plant, and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equipment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Plant closure expense</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40" w:type="dxa"/>
            <w:vAlign w:val="bottom"/>
          </w:tcPr>
          <w:p>
            <w:pPr>
              <w:ind w:left="320"/>
              <w:spacing w:after="0" w:line="155" w:lineRule="exact"/>
              <w:rPr>
                <w:sz w:val="20"/>
                <w:szCs w:val="20"/>
                <w:color w:val="auto"/>
              </w:rPr>
            </w:pPr>
            <w:r>
              <w:rPr>
                <w:rFonts w:ascii="Times New Roman" w:cs="Times New Roman" w:eastAsia="Times New Roman" w:hAnsi="Times New Roman"/>
                <w:sz w:val="14"/>
                <w:szCs w:val="14"/>
                <w:color w:val="auto"/>
              </w:rPr>
              <w:t>Operating income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6,023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12,262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Net sales to external customers by type of good or service were:</w:t>
            </w: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gridSpan w:val="11"/>
            <w:vMerge w:val="continue"/>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11"/>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9"/>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jc w:val="right"/>
              <w:ind w:right="148"/>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6"/>
          </w:tcPr>
          <w:p>
            <w:pPr>
              <w:jc w:val="right"/>
              <w:ind w:right="148"/>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5"/>
          </w:tcPr>
          <w:p>
            <w:pPr>
              <w:jc w:val="right"/>
              <w:ind w:right="24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4"/>
          </w:tcPr>
          <w:p>
            <w:pPr>
              <w:jc w:val="right"/>
              <w:ind w:right="123"/>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gridSpan w:val="7"/>
          </w:tcPr>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sales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Food Service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214,665</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226,053</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433,821</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464,936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Retail Supermarkets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51,620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53,848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97,502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98,565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Frozen Beverages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41,503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91,606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86,157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5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Product sales</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313,002</w:t>
            </w:r>
          </w:p>
        </w:tc>
        <w:tc>
          <w:tcPr>
            <w:tcW w:w="2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321,404</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622,929</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649,658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Repair and maintenance service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gridSpan w:val="8"/>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Frozen Beverages repair and maintenance service</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21,012</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24,215</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43,501</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47,854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380" w:type="dxa"/>
            <w:vAlign w:val="bottom"/>
            <w:tcBorders>
              <w:bottom w:val="single" w:sz="8" w:color="CCEEFF"/>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Total Repair and maintenance service</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21,012</w:t>
            </w:r>
          </w:p>
        </w:tc>
        <w:tc>
          <w:tcPr>
            <w:tcW w:w="2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43,501</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Machines revenue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Frozen Beverages machines revenue</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9,616</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20,678</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5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Machine revenue</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2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20,678</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Frozen Beverages other</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864</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1,489</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5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Other</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sales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344,819</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356,099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688,597</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718,697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300" w:top="580" w:right="499" w:bottom="1440" w:gutter="0" w:footer="0" w:header="0"/>
        </w:sectPr>
      </w:pPr>
    </w:p>
    <w:bookmarkStart w:id="15" w:name="page16"/>
    <w:bookmarkEnd w:id="15"/>
    <w:p>
      <w:pPr>
        <w:ind w:left="980"/>
        <w:spacing w:after="0" w:line="282" w:lineRule="auto"/>
        <w:rPr>
          <w:sz w:val="20"/>
          <w:szCs w:val="20"/>
          <w:color w:val="auto"/>
        </w:rPr>
      </w:pPr>
      <w:r>
        <w:rPr>
          <w:rFonts w:ascii="Times New Roman" w:cs="Times New Roman" w:eastAsia="Times New Roman" w:hAnsi="Times New Roman"/>
          <w:sz w:val="18"/>
          <w:szCs w:val="18"/>
          <w:color w:val="auto"/>
        </w:rPr>
        <w:t>Total depreciation and amortization expense, capital expenditures, and total assets by segment, reflecting our current segment structure for all periods presented, were:</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1"/>
        </w:trPr>
        <w:tc>
          <w:tcPr>
            <w:tcW w:w="4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28,</w:t>
            </w: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8"/>
        </w:trPr>
        <w:tc>
          <w:tcPr>
            <w:tcW w:w="4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Food Service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24,578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23,112</w:t>
            </w:r>
          </w:p>
        </w:tc>
        <w:tc>
          <w:tcPr>
            <w:tcW w:w="80" w:type="dxa"/>
            <w:vAlign w:val="bottom"/>
          </w:tcPr>
          <w:p>
            <w:pPr>
              <w:spacing w:after="0"/>
              <w:rPr>
                <w:sz w:val="18"/>
                <w:szCs w:val="18"/>
                <w:color w:val="auto"/>
              </w:rPr>
            </w:pPr>
          </w:p>
        </w:tc>
      </w:tr>
      <w:tr>
        <w:trPr>
          <w:trHeight w:val="216"/>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Supermarket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CEEFF"/>
          </w:tcPr>
          <w:p>
            <w:pPr>
              <w:spacing w:after="0"/>
              <w:rPr>
                <w:sz w:val="18"/>
                <w:szCs w:val="18"/>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Frozen Beverages</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11,438</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11,057</w:t>
            </w:r>
          </w:p>
        </w:tc>
        <w:tc>
          <w:tcPr>
            <w:tcW w:w="80" w:type="dxa"/>
            <w:vAlign w:val="bottom"/>
          </w:tcPr>
          <w:p>
            <w:pPr>
              <w:spacing w:after="0"/>
              <w:rPr>
                <w:sz w:val="18"/>
                <w:szCs w:val="18"/>
                <w:color w:val="auto"/>
              </w:rPr>
            </w:pPr>
          </w:p>
        </w:tc>
      </w:tr>
      <w:tr>
        <w:trPr>
          <w:trHeight w:val="229"/>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shd w:val="clear" w:color="auto" w:fill="CCEEFF"/>
          </w:tcPr>
          <w:p>
            <w:pPr>
              <w:spacing w:after="0"/>
              <w:rPr>
                <w:sz w:val="19"/>
                <w:szCs w:val="19"/>
                <w:color w:val="auto"/>
              </w:rPr>
            </w:pPr>
          </w:p>
        </w:tc>
      </w:tr>
      <w:tr>
        <w:trPr>
          <w:trHeight w:val="263"/>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37,599</w:t>
            </w:r>
          </w:p>
        </w:tc>
        <w:tc>
          <w:tcPr>
            <w:tcW w:w="1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4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Food Service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26,387</w:t>
            </w:r>
          </w:p>
        </w:tc>
        <w:tc>
          <w:tcPr>
            <w:tcW w:w="80" w:type="dxa"/>
            <w:vAlign w:val="bottom"/>
            <w:shd w:val="clear" w:color="auto" w:fill="CCEEFF"/>
          </w:tcPr>
          <w:p>
            <w:pPr>
              <w:spacing w:after="0"/>
              <w:rPr>
                <w:sz w:val="18"/>
                <w:szCs w:val="18"/>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Supermarket</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r>
      <w:tr>
        <w:trPr>
          <w:trHeight w:val="216"/>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Frozen Beverages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11,881</w:t>
            </w:r>
          </w:p>
        </w:tc>
        <w:tc>
          <w:tcPr>
            <w:tcW w:w="80" w:type="dxa"/>
            <w:vAlign w:val="bottom"/>
            <w:shd w:val="clear" w:color="auto" w:fill="CCEEFF"/>
          </w:tcPr>
          <w:p>
            <w:pPr>
              <w:spacing w:after="0"/>
              <w:rPr>
                <w:sz w:val="18"/>
                <w:szCs w:val="18"/>
                <w:color w:val="auto"/>
              </w:rPr>
            </w:pPr>
          </w:p>
        </w:tc>
      </w:tr>
      <w:tr>
        <w:trPr>
          <w:trHeight w:val="229"/>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1,142</w:t>
            </w: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r>
      <w:tr>
        <w:trPr>
          <w:trHeight w:val="223"/>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0"/>
        </w:trPr>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Pr>
          <w:p>
            <w:pPr>
              <w:spacing w:after="0"/>
              <w:rPr>
                <w:sz w:val="24"/>
                <w:szCs w:val="24"/>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27,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28,</w:t>
            </w:r>
          </w:p>
        </w:tc>
        <w:tc>
          <w:tcPr>
            <w:tcW w:w="13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27,</w:t>
            </w:r>
          </w:p>
        </w:tc>
      </w:tr>
      <w:tr>
        <w:trPr>
          <w:trHeight w:val="238"/>
        </w:trPr>
        <w:tc>
          <w:tcPr>
            <w:tcW w:w="45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Food Service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912,936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961,092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912,936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961,092</w:t>
            </w:r>
          </w:p>
        </w:tc>
        <w:tc>
          <w:tcPr>
            <w:tcW w:w="80" w:type="dxa"/>
            <w:vAlign w:val="bottom"/>
          </w:tcPr>
          <w:p>
            <w:pPr>
              <w:spacing w:after="0"/>
              <w:rPr>
                <w:sz w:val="18"/>
                <w:szCs w:val="18"/>
                <w:color w:val="auto"/>
              </w:rPr>
            </w:pPr>
          </w:p>
        </w:tc>
      </w:tr>
      <w:tr>
        <w:trPr>
          <w:trHeight w:val="216"/>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Supermarket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30,544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30,327</w:t>
            </w:r>
          </w:p>
        </w:tc>
        <w:tc>
          <w:tcPr>
            <w:tcW w:w="80" w:type="dxa"/>
            <w:vAlign w:val="bottom"/>
            <w:shd w:val="clear" w:color="auto" w:fill="CCEEFF"/>
          </w:tcPr>
          <w:p>
            <w:pPr>
              <w:spacing w:after="0"/>
              <w:rPr>
                <w:sz w:val="18"/>
                <w:szCs w:val="18"/>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Frozen Beverages</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351,659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364,473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351,659</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364,473</w:t>
            </w:r>
          </w:p>
        </w:tc>
        <w:tc>
          <w:tcPr>
            <w:tcW w:w="80" w:type="dxa"/>
            <w:vAlign w:val="bottom"/>
          </w:tcPr>
          <w:p>
            <w:pPr>
              <w:spacing w:after="0"/>
              <w:rPr>
                <w:sz w:val="18"/>
                <w:szCs w:val="18"/>
                <w:color w:val="auto"/>
              </w:rPr>
            </w:pPr>
          </w:p>
        </w:tc>
      </w:tr>
      <w:tr>
        <w:trPr>
          <w:trHeight w:val="230"/>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29,997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25,609</w:t>
            </w:r>
          </w:p>
        </w:tc>
        <w:tc>
          <w:tcPr>
            <w:tcW w:w="80" w:type="dxa"/>
            <w:vAlign w:val="bottom"/>
            <w:shd w:val="clear" w:color="auto" w:fill="CCEEFF"/>
          </w:tcPr>
          <w:p>
            <w:pPr>
              <w:spacing w:after="0"/>
              <w:rPr>
                <w:sz w:val="19"/>
                <w:szCs w:val="19"/>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1,325,136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1,381,501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1,325,136</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1,381,501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Geographic data for net sales (recognized in the countries where products were sold from) and total assets were: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01"/>
        </w:trPr>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28,</w:t>
            </w: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329,611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343,906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657,232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692,005</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31,365</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26,692</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 to external customers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688,597</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Pr>
          <w:p>
            <w:pPr>
              <w:spacing w:after="0"/>
              <w:rPr>
                <w:sz w:val="24"/>
                <w:szCs w:val="24"/>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27,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28,</w:t>
            </w: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27,</w:t>
            </w: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3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1,256,938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1,302,387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1,256,938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1,302,387</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68,198</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79,114</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1,325,136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1,381,501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1,325,136</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w:t>
            </w:r>
          </w:p>
        </w:tc>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980" w:type="dxa"/>
            <w:vAlign w:val="bottom"/>
            <w:vMerge w:val="continue"/>
          </w:tcPr>
          <w:p>
            <w:pPr>
              <w:spacing w:after="0"/>
              <w:rPr>
                <w:sz w:val="24"/>
                <w:szCs w:val="24"/>
                <w:color w:val="auto"/>
              </w:rPr>
            </w:pPr>
          </w:p>
        </w:tc>
        <w:tc>
          <w:tcPr>
            <w:tcW w:w="45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98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reportable segments are Food Service, Retail Supermarkets and Frozen Beverages.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16" w:name="page17"/>
    <w:bookmarkEnd w:id="16"/>
    <w:p>
      <w:pPr>
        <w:ind w:left="980" w:right="260"/>
        <w:spacing w:after="0" w:line="282" w:lineRule="auto"/>
        <w:rPr>
          <w:sz w:val="20"/>
          <w:szCs w:val="20"/>
          <w:color w:val="auto"/>
        </w:rPr>
      </w:pPr>
      <w:r>
        <w:rPr>
          <w:rFonts w:ascii="Times New Roman" w:cs="Times New Roman" w:eastAsia="Times New Roman" w:hAnsi="Times New Roman"/>
          <w:sz w:val="18"/>
          <w:szCs w:val="18"/>
          <w:color w:val="auto"/>
        </w:rPr>
        <w:t>The carrying amounts of acquired intangible assets for the Food Service, Retail Supermarkets and Frozen Beverages segments as of March 28, 2026 and September 27, 2025 are as follows:</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September 27, 2025</w:t>
            </w:r>
          </w:p>
        </w:tc>
      </w:tr>
      <w:tr>
        <w:trPr>
          <w:trHeight w:val="187"/>
        </w:trPr>
        <w:tc>
          <w:tcPr>
            <w:tcW w:w="45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4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r>
      <w:tr>
        <w:trPr>
          <w:trHeight w:val="238"/>
        </w:trPr>
        <w:tc>
          <w:tcPr>
            <w:tcW w:w="4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0"/>
        </w:trPr>
        <w:tc>
          <w:tcPr>
            <w:tcW w:w="45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SERVICE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 lived intangible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85,424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2,515</w:t>
            </w:r>
          </w:p>
        </w:tc>
      </w:tr>
      <w:tr>
        <w:trPr>
          <w:trHeight w:val="216"/>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Franchise agreements</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2,763</w:t>
            </w:r>
          </w:p>
        </w:tc>
      </w:tr>
      <w:tr>
        <w:trPr>
          <w:trHeight w:val="216"/>
        </w:trPr>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23,550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14,749</w:t>
            </w:r>
          </w:p>
        </w:tc>
      </w:tr>
      <w:tr>
        <w:trPr>
          <w:trHeight w:val="216"/>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23,110</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7,493</w:t>
            </w:r>
          </w:p>
        </w:tc>
      </w:tr>
      <w:tr>
        <w:trPr>
          <w:trHeight w:val="216"/>
        </w:trPr>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License and rights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1,734</w:t>
            </w:r>
          </w:p>
        </w:tc>
      </w:tr>
      <w:tr>
        <w:trPr>
          <w:trHeight w:val="229"/>
        </w:trPr>
        <w:tc>
          <w:tcPr>
            <w:tcW w:w="4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FOOD SERVICE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140,584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144,789</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SUPERMARKETS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 lived intangible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11,181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RETAIL SUPERMARKETS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11,181</w:t>
            </w: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r>
      <w:tr>
        <w:trPr>
          <w:trHeight w:val="196"/>
        </w:trPr>
        <w:tc>
          <w:tcPr>
            <w:tcW w:w="4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FROZEN BEVERAGES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 lived intangible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Distribution rights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36,100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w:t>
            </w:r>
          </w:p>
        </w:tc>
      </w:tr>
      <w:tr>
        <w:trPr>
          <w:trHeight w:val="216"/>
        </w:trPr>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Licenses and rights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w:t>
            </w:r>
          </w:p>
        </w:tc>
      </w:tr>
      <w:tr>
        <w:trPr>
          <w:trHeight w:val="230"/>
        </w:trPr>
        <w:tc>
          <w:tcPr>
            <w:tcW w:w="4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FROZEN BEVERAGES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48,254</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30,169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204,224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31,574</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980" w:right="100"/>
        <w:spacing w:after="0" w:line="261" w:lineRule="auto"/>
        <w:rPr>
          <w:sz w:val="20"/>
          <w:szCs w:val="20"/>
          <w:color w:val="auto"/>
        </w:rPr>
      </w:pPr>
      <w:r>
        <w:rPr>
          <w:rFonts w:ascii="Times New Roman" w:cs="Times New Roman" w:eastAsia="Times New Roman" w:hAnsi="Times New Roman"/>
          <w:sz w:val="18"/>
          <w:szCs w:val="18"/>
          <w:color w:val="auto"/>
        </w:rPr>
        <w:t>Amortizing intangible assets are being amortized by the straight-line method over periods ranging from 10 to 20 years and amortization expense is reflected throughout operating expenses. Aggregate amortization expense of intangible assets for the three months ended March 28, 2026 and March 29, 2025 was $1.4 million and $2.0 million, respectively. Aggregate amortization expense of intangible assets for the six months ended March 28, 2026 and March 29, 2025 was $2.8 million and $3.9 million, respectively.</w:t>
      </w:r>
    </w:p>
    <w:p>
      <w:pPr>
        <w:spacing w:after="0" w:line="180" w:lineRule="exact"/>
        <w:rPr>
          <w:sz w:val="20"/>
          <w:szCs w:val="20"/>
          <w:color w:val="auto"/>
        </w:rPr>
      </w:pPr>
    </w:p>
    <w:p>
      <w:pPr>
        <w:ind w:left="980" w:right="240"/>
        <w:spacing w:after="0" w:line="282" w:lineRule="auto"/>
        <w:rPr>
          <w:sz w:val="20"/>
          <w:szCs w:val="20"/>
          <w:color w:val="auto"/>
        </w:rPr>
      </w:pPr>
      <w:r>
        <w:rPr>
          <w:rFonts w:ascii="Times New Roman" w:cs="Times New Roman" w:eastAsia="Times New Roman" w:hAnsi="Times New Roman"/>
          <w:sz w:val="18"/>
          <w:szCs w:val="18"/>
          <w:color w:val="auto"/>
        </w:rPr>
        <w:t>Estimated amortization expense for the next five fiscal years is approximately $2.8 million in 2026 (excluding the six months ended March 28, 2026), $4.7 million in 2027, $4.3 million in 2028 and 2029, and $4.2 million in 2030.</w:t>
      </w:r>
    </w:p>
    <w:p>
      <w:pPr>
        <w:spacing w:after="0" w:line="162" w:lineRule="exact"/>
        <w:rPr>
          <w:sz w:val="20"/>
          <w:szCs w:val="20"/>
          <w:color w:val="auto"/>
        </w:rPr>
      </w:pPr>
    </w:p>
    <w:p>
      <w:pPr>
        <w:ind w:left="980" w:right="60"/>
        <w:spacing w:after="0" w:line="282" w:lineRule="auto"/>
        <w:rPr>
          <w:sz w:val="20"/>
          <w:szCs w:val="20"/>
          <w:color w:val="auto"/>
        </w:rPr>
      </w:pPr>
      <w:r>
        <w:rPr>
          <w:rFonts w:ascii="Times New Roman" w:cs="Times New Roman" w:eastAsia="Times New Roman" w:hAnsi="Times New Roman"/>
          <w:sz w:val="18"/>
          <w:szCs w:val="18"/>
          <w:color w:val="auto"/>
        </w:rPr>
        <w:t>The weighted amortization period of the intangible assets, in total, is 10.0 years. The weighted amortization period by intangible asset class is 10 years for Technology, 10 years for Customer relationships, 20 years for Licenses &amp; rights, and 10 years for Franchise agreements.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carrying amounts of goodwill for the Food Service, Retail Supermarket and Frozen Beverage segments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14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Service</w:t>
            </w:r>
          </w:p>
        </w:tc>
        <w:tc>
          <w:tcPr>
            <w:tcW w:w="40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124,426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Retail Supermarket</w:t>
            </w: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4,146</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Frozen Beverages</w:t>
            </w:r>
          </w:p>
        </w:tc>
        <w:tc>
          <w:tcPr>
            <w:tcW w:w="3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56,498</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56,498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goodwill</w:t>
            </w:r>
          </w:p>
        </w:tc>
        <w:tc>
          <w:tcPr>
            <w:tcW w:w="38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185,070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00" w:type="dxa"/>
            <w:vAlign w:val="bottom"/>
            <w:vMerge w:val="restart"/>
          </w:tcPr>
          <w:p>
            <w:pPr>
              <w:jc w:val="right"/>
              <w:ind w:right="195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379" w:gutter="0" w:footer="0" w:header="0"/>
        </w:sectPr>
      </w:pPr>
    </w:p>
    <w:bookmarkStart w:id="17" w:name="page18"/>
    <w:bookmarkEnd w:id="1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9" w:lineRule="exact"/>
        <w:rPr>
          <w:sz w:val="20"/>
          <w:szCs w:val="20"/>
          <w:color w:val="auto"/>
        </w:rPr>
      </w:pPr>
    </w:p>
    <w:p>
      <w:pPr>
        <w:ind w:left="980" w:right="180"/>
        <w:spacing w:after="0" w:line="282" w:lineRule="auto"/>
        <w:rPr>
          <w:sz w:val="20"/>
          <w:szCs w:val="20"/>
          <w:color w:val="auto"/>
        </w:rPr>
      </w:pPr>
      <w:r>
        <w:rPr>
          <w:rFonts w:ascii="Times New Roman" w:cs="Times New Roman" w:eastAsia="Times New Roman" w:hAnsi="Times New Roman"/>
          <w:sz w:val="18"/>
          <w:szCs w:val="18"/>
          <w:color w:val="auto"/>
        </w:rPr>
        <w:t>We are a party to litigation which has arisen in the normal course of business which management currently believes will not have a material adverse effect on our financial condition or results of operations.</w:t>
      </w:r>
    </w:p>
    <w:p>
      <w:pPr>
        <w:spacing w:after="0" w:line="162" w:lineRule="exact"/>
        <w:rPr>
          <w:sz w:val="20"/>
          <w:szCs w:val="20"/>
          <w:color w:val="auto"/>
        </w:rPr>
      </w:pPr>
    </w:p>
    <w:p>
      <w:pPr>
        <w:ind w:left="980" w:right="60"/>
        <w:spacing w:after="0" w:line="258" w:lineRule="auto"/>
        <w:rPr>
          <w:sz w:val="20"/>
          <w:szCs w:val="20"/>
          <w:color w:val="auto"/>
        </w:rPr>
      </w:pPr>
      <w:r>
        <w:rPr>
          <w:rFonts w:ascii="Times New Roman" w:cs="Times New Roman" w:eastAsia="Times New Roman" w:hAnsi="Times New Roman"/>
          <w:sz w:val="18"/>
          <w:szCs w:val="18"/>
          <w:color w:val="auto"/>
        </w:rPr>
        <w:t>We self-insure, up to loss limits, certain insurable risks such as workers’ compensation, automobile, and general liability claims. Accruals for claims under our self-insurance program are recorded on a claims incurred basis. Our total recorded liability for all years’ claims incurred but not yet paid was $14.0 million and $14.4 million at March 28, 2026 and September 27, 2025, respectively. In connection with certain self-insurance agreements, we customarily enter into letters of credit arrangements with our insurers. At both March 28, 2026 and September 27, 2025, we had outstanding letters of credit totaling $14.8 million.</w:t>
      </w:r>
    </w:p>
    <w:p>
      <w:pPr>
        <w:spacing w:after="0" w:line="183" w:lineRule="exact"/>
        <w:rPr>
          <w:sz w:val="20"/>
          <w:szCs w:val="20"/>
          <w:color w:val="auto"/>
        </w:rPr>
      </w:pPr>
    </w:p>
    <w:p>
      <w:pPr>
        <w:ind w:left="980" w:right="20"/>
        <w:spacing w:after="0" w:line="266" w:lineRule="auto"/>
        <w:rPr>
          <w:sz w:val="20"/>
          <w:szCs w:val="20"/>
          <w:color w:val="auto"/>
        </w:rPr>
      </w:pPr>
      <w:r>
        <w:rPr>
          <w:rFonts w:ascii="Times New Roman" w:cs="Times New Roman" w:eastAsia="Times New Roman" w:hAnsi="Times New Roman"/>
          <w:sz w:val="18"/>
          <w:szCs w:val="18"/>
          <w:color w:val="auto"/>
        </w:rPr>
        <w:t>We have a self-insured medical plan which covers approximately 1,800 of our employees. We record a liability for incurred but not yet reported or paid claims based on our historical experience of claim payments and a calculated lag time period. Our recorded liability at March 28, 2026 and September 27, 2025 was $1.9 million and $2.2 million, respectively.</w:t>
      </w:r>
    </w:p>
    <w:p>
      <w:pPr>
        <w:spacing w:after="0" w:line="176" w:lineRule="exact"/>
        <w:rPr>
          <w:sz w:val="20"/>
          <w:szCs w:val="20"/>
          <w:color w:val="auto"/>
        </w:rPr>
      </w:pPr>
    </w:p>
    <w:p>
      <w:pPr>
        <w:ind w:left="980" w:right="140"/>
        <w:spacing w:after="0" w:line="261" w:lineRule="auto"/>
        <w:rPr>
          <w:sz w:val="20"/>
          <w:szCs w:val="20"/>
          <w:color w:val="auto"/>
        </w:rPr>
      </w:pPr>
      <w:r>
        <w:rPr>
          <w:rFonts w:ascii="Times New Roman" w:cs="Times New Roman" w:eastAsia="Times New Roman" w:hAnsi="Times New Roman"/>
          <w:sz w:val="18"/>
          <w:szCs w:val="18"/>
          <w:color w:val="auto"/>
        </w:rPr>
        <w:t>On August 19, 2024, we experienced a fire at our Holly Ridge plant in North Carolina. The building was damaged as a result of the fire, and plant operations were interrupted. We maintain property, general liability and business interruption insurance coverage. Based on the provisions of our insurance policies, we record estimated insurance recoveries for fire related costs for which recovery is deemed to be probable.</w:t>
      </w:r>
    </w:p>
    <w:p>
      <w:pPr>
        <w:spacing w:after="0" w:line="180" w:lineRule="exact"/>
        <w:rPr>
          <w:sz w:val="20"/>
          <w:szCs w:val="20"/>
          <w:color w:val="auto"/>
        </w:rPr>
      </w:pPr>
    </w:p>
    <w:p>
      <w:pPr>
        <w:ind w:left="980" w:right="20"/>
        <w:spacing w:after="0" w:line="254" w:lineRule="auto"/>
        <w:rPr>
          <w:sz w:val="20"/>
          <w:szCs w:val="20"/>
          <w:color w:val="auto"/>
        </w:rPr>
      </w:pPr>
      <w:r>
        <w:rPr>
          <w:rFonts w:ascii="Times New Roman" w:cs="Times New Roman" w:eastAsia="Times New Roman" w:hAnsi="Times New Roman"/>
          <w:sz w:val="18"/>
          <w:szCs w:val="18"/>
          <w:color w:val="auto"/>
        </w:rPr>
        <w:t>In the three months ended December 27, 2025, we recorded $0.3 million of fire related costs, and we received $1.5 million of insurance proceeds for inventory, fixed asset replacement costs, and business interruption losses. Additionally, in the three months ended December 27, 2025, we recognized a gain of $0.8 million for insurance proceeds received for damage to property, plant, and equipment in the Consolidated Statement of Earnings, and we recognized a gain of $2.0 million for the proceeds received, and expected to be received, in excess of operational losses recognized, in cost of goods sold, in the Consolidated Statement of Earnings. As of December 27, 2025, $1.6 million of these insurance proceeds were recorded in prepaid expenses and other, in the Consolidated Balance Sheet. The $1.6 million insurance proceeds were subsequently received in January 2026. During the three months ended March 28, 2026, no additional insurance proceeds were received.</w:t>
      </w:r>
    </w:p>
    <w:p>
      <w:pPr>
        <w:spacing w:after="0" w:line="192" w:lineRule="exact"/>
        <w:rPr>
          <w:sz w:val="20"/>
          <w:szCs w:val="20"/>
          <w:color w:val="auto"/>
        </w:rPr>
      </w:pPr>
    </w:p>
    <w:p>
      <w:pPr>
        <w:ind w:left="980"/>
        <w:spacing w:after="0" w:line="255" w:lineRule="auto"/>
        <w:rPr>
          <w:sz w:val="20"/>
          <w:szCs w:val="20"/>
          <w:color w:val="auto"/>
        </w:rPr>
      </w:pPr>
      <w:r>
        <w:rPr>
          <w:rFonts w:ascii="Times New Roman" w:cs="Times New Roman" w:eastAsia="Times New Roman" w:hAnsi="Times New Roman"/>
          <w:sz w:val="18"/>
          <w:szCs w:val="18"/>
          <w:color w:val="auto"/>
        </w:rPr>
        <w:t>In the three and six months ended March 29, 2025, we recorded an additional $1.8 million and $10.1 million of fire related costs, respectively, for all of which recovery was deemed to be probable. In the three and six months ended March 29, 2025, we received $1.5 million and $2.5 million of insurance proceeds for inventory and business interruption losses, respectively. Additionally, for the three and six month periods ended March 29, 2025, we recorded a gain of $0.3 million and $0.8 million, respectively, in cost of goods sold in the Consolidated Statement of Earnings representing the proceeds received in excess of losses recognized and we recorded an insurance receivable, net of advance proceeds received, for other fire related costs for which recovery was deemed probable of $10.2 million, which was recorded in prepaid expenses and other, in the Consolidated Balance Sheet as of March 29, 2025.</w:t>
      </w:r>
    </w:p>
    <w:p>
      <w:pPr>
        <w:spacing w:after="0" w:line="189" w:lineRule="exact"/>
        <w:rPr>
          <w:sz w:val="20"/>
          <w:szCs w:val="20"/>
          <w:color w:val="auto"/>
        </w:rPr>
      </w:pPr>
    </w:p>
    <w:p>
      <w:pPr>
        <w:jc w:val="both"/>
        <w:ind w:left="980" w:right="160"/>
        <w:spacing w:after="0" w:line="266" w:lineRule="auto"/>
        <w:rPr>
          <w:sz w:val="20"/>
          <w:szCs w:val="20"/>
          <w:color w:val="auto"/>
        </w:rPr>
      </w:pPr>
      <w:r>
        <w:rPr>
          <w:rFonts w:ascii="Times New Roman" w:cs="Times New Roman" w:eastAsia="Times New Roman" w:hAnsi="Times New Roman"/>
          <w:sz w:val="18"/>
          <w:szCs w:val="18"/>
          <w:color w:val="auto"/>
        </w:rPr>
        <w:t>Cumulative fire related costs recorded through March 28, 2026 were $17.5 million, for all of which recovery has been received. Cumulative insurance proceeds received as of March 28, 2026 were $34.7 million for inventory, fixed asset replacement costs, and business interruption losses.</w:t>
      </w:r>
    </w:p>
    <w:p>
      <w:pPr>
        <w:spacing w:after="0" w:line="176"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See below for a roll forward of the insurance receivable, net of advanced proceeds received for other fire related costs for which recovery was deemed probable in the Consolidated Balance Sheet for the three and six months ended March 28, 2026 and March 29, 2025.</w:t>
      </w:r>
    </w:p>
    <w:p>
      <w:pPr>
        <w:spacing w:after="0" w:line="164" w:lineRule="exact"/>
        <w:rPr>
          <w:sz w:val="20"/>
          <w:szCs w:val="20"/>
          <w:color w:val="auto"/>
        </w:rPr>
      </w:pPr>
    </w:p>
    <w:tbl>
      <w:tblPr>
        <w:tblLayout w:type="fixed"/>
        <w:tblInd w:w="98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March 28,</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March 29,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March 28,</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March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Insurance receivable, net of advance proceeds received for other fire related costs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w:t>
            </w:r>
          </w:p>
        </w:tc>
        <w:tc>
          <w:tcPr>
            <w:tcW w:w="114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w:t>
            </w:r>
          </w:p>
        </w:tc>
        <w:tc>
          <w:tcPr>
            <w:tcW w:w="1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9,651</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Fire related costs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Insurance proceeds for inventory, fixed asset losses, and other fire related costs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3"/>
        </w:trPr>
        <w:tc>
          <w:tcPr>
            <w:tcW w:w="5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Gain on insurance proceeds received for damage to property, plant, and equipment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Gain on insurance proceeds received, or expected to be received, in excess of</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losses recognized</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10,178</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w:t>
            </w:r>
          </w:p>
        </w:tc>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Changes to the components of accumulated other comprehensive loss are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9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6"/>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80" w:type="dxa"/>
            <w:vAlign w:val="bottom"/>
          </w:tcPr>
          <w:p>
            <w:pPr>
              <w:spacing w:after="0"/>
              <w:rPr>
                <w:sz w:val="18"/>
                <w:szCs w:val="18"/>
                <w:color w:val="auto"/>
              </w:rPr>
            </w:pPr>
          </w:p>
        </w:tc>
        <w:tc>
          <w:tcPr>
            <w:tcW w:w="5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Foreign currency translation adjustments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w:t>
            </w:r>
          </w:p>
        </w:tc>
        <w:tc>
          <w:tcPr>
            <w:tcW w:w="124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w:t>
            </w:r>
          </w:p>
        </w:tc>
        <w:tc>
          <w:tcPr>
            <w:tcW w:w="118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74"/>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5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(10,953)</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(17,876)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(12,647)</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(15,299)</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 gain (loss)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(2,145)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8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(17,444)</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(10,607)</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(17,444)</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5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(17,444)</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(10,607)</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(17,444)</w:t>
            </w:r>
          </w:p>
        </w:tc>
        <w:tc>
          <w:tcPr>
            <w:tcW w:w="0" w:type="dxa"/>
            <w:vAlign w:val="bottom"/>
          </w:tcPr>
          <w:p>
            <w:pPr>
              <w:spacing w:after="0"/>
              <w:rPr>
                <w:sz w:val="1"/>
                <w:szCs w:val="1"/>
                <w:color w:val="auto"/>
              </w:rPr>
            </w:pPr>
          </w:p>
        </w:tc>
      </w:tr>
      <w:tr>
        <w:trPr>
          <w:trHeight w:val="87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w:t>
            </w:r>
          </w:p>
        </w:tc>
        <w:tc>
          <w:tcPr>
            <w:tcW w:w="52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General Lease Description</w:t>
      </w:r>
    </w:p>
    <w:p>
      <w:pPr>
        <w:spacing w:after="0" w:line="225" w:lineRule="exact"/>
        <w:rPr>
          <w:sz w:val="20"/>
          <w:szCs w:val="20"/>
          <w:color w:val="auto"/>
        </w:rPr>
      </w:pPr>
    </w:p>
    <w:p>
      <w:pPr>
        <w:ind w:left="980" w:right="120"/>
        <w:spacing w:after="0" w:line="261" w:lineRule="auto"/>
        <w:rPr>
          <w:sz w:val="20"/>
          <w:szCs w:val="20"/>
          <w:color w:val="auto"/>
        </w:rPr>
      </w:pPr>
      <w:r>
        <w:rPr>
          <w:rFonts w:ascii="Times New Roman" w:cs="Times New Roman" w:eastAsia="Times New Roman" w:hAnsi="Times New Roman"/>
          <w:sz w:val="18"/>
          <w:szCs w:val="18"/>
          <w:color w:val="auto"/>
        </w:rPr>
        <w:t>We have operating leases with initial noncancelable lease terms in excess of one year covering the rental of various facilities and equipment. Certain of these leases contain renewal options and some provide options to purchase during the lease term. Our operating leases include leases for real estate for some of our office and manufacturing facilities as well as manufacturing and non-manufacturing equipment used in our business. The remaining lease terms for these operating leases range from 1 month to 18 years.</w:t>
      </w:r>
    </w:p>
    <w:p>
      <w:pPr>
        <w:spacing w:after="0" w:line="180" w:lineRule="exact"/>
        <w:rPr>
          <w:sz w:val="20"/>
          <w:szCs w:val="20"/>
          <w:color w:val="auto"/>
        </w:rPr>
      </w:pPr>
    </w:p>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We have finance leases with initial noncancelable lease terms in excess of one year covering the rental of various equipment. These leases are generally for manufacturing and non-manufacturing equipment used in our business. The remaining lease terms for these finance leases range from 1 year to 6 years.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Significant Assumptions and Judgments</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Contract Contains a Lease</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evaluating our contracts to determine whether a contract is or contains a lease, we considered the following:</w:t>
      </w:r>
    </w:p>
    <w:p>
      <w:pPr>
        <w:spacing w:after="0" w:line="225"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explicitly or implicitly identified assets have been deployed in the contract; and</w:t>
      </w:r>
    </w:p>
    <w:p>
      <w:pPr>
        <w:spacing w:after="0" w:line="252"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obtain substantially all of the economic benefits from the use of that underlying asset, and we can direct how and for what purpose the asset is used during the term of the contract.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Allocation of Consideration</w:t>
      </w:r>
    </w:p>
    <w:p>
      <w:pPr>
        <w:spacing w:after="0" w:line="227" w:lineRule="exact"/>
        <w:rPr>
          <w:sz w:val="20"/>
          <w:szCs w:val="20"/>
          <w:color w:val="auto"/>
        </w:rPr>
      </w:pPr>
    </w:p>
    <w:p>
      <w:pPr>
        <w:ind w:left="980" w:right="220"/>
        <w:spacing w:after="0" w:line="282" w:lineRule="auto"/>
        <w:rPr>
          <w:sz w:val="20"/>
          <w:szCs w:val="20"/>
          <w:color w:val="auto"/>
        </w:rPr>
      </w:pPr>
      <w:r>
        <w:rPr>
          <w:rFonts w:ascii="Times New Roman" w:cs="Times New Roman" w:eastAsia="Times New Roman" w:hAnsi="Times New Roman"/>
          <w:sz w:val="18"/>
          <w:szCs w:val="18"/>
          <w:color w:val="auto"/>
        </w:rPr>
        <w:t>In determining how to allocate consideration between lease and non-lease components in a contract that was deemed to contain a lease, we used judgment and consistent application of assumptions to reasonably allocate the consideration.</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Options to Extend or Terminate Leases</w:t>
      </w:r>
    </w:p>
    <w:p>
      <w:pPr>
        <w:spacing w:after="0" w:line="227"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We have leases which contain options to extend or terminate the leases. On a lease-by-lease basis, we have determined if the extension should be considered reasonably certain to be exercised and thus a right-of-use asset and a lease liability should be recorded.</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227" w:lineRule="exact"/>
        <w:rPr>
          <w:sz w:val="20"/>
          <w:szCs w:val="20"/>
          <w:color w:val="auto"/>
        </w:rPr>
      </w:pPr>
    </w:p>
    <w:p>
      <w:pPr>
        <w:ind w:left="980" w:right="40"/>
        <w:spacing w:after="0" w:line="312" w:lineRule="auto"/>
        <w:rPr>
          <w:sz w:val="20"/>
          <w:szCs w:val="20"/>
          <w:color w:val="auto"/>
        </w:rPr>
      </w:pPr>
      <w:r>
        <w:rPr>
          <w:rFonts w:ascii="Times New Roman" w:cs="Times New Roman" w:eastAsia="Times New Roman" w:hAnsi="Times New Roman"/>
          <w:sz w:val="17"/>
          <w:szCs w:val="17"/>
          <w:color w:val="auto"/>
        </w:rPr>
        <w:t>The discount rate for leases, if not explicitly stated in the lease, is the incremental borrowing rate, which is the rate of interest that we would have to pay to borrow on a collateralized basis over a similar term an amount equal to the lease payments in a similar economic environment.</w:t>
      </w:r>
    </w:p>
    <w:p>
      <w:pPr>
        <w:spacing w:after="0" w:line="140" w:lineRule="exact"/>
        <w:rPr>
          <w:sz w:val="20"/>
          <w:szCs w:val="20"/>
          <w:color w:val="auto"/>
        </w:rPr>
      </w:pPr>
    </w:p>
    <w:p>
      <w:pPr>
        <w:ind w:left="980" w:right="20"/>
        <w:spacing w:after="0" w:line="266" w:lineRule="auto"/>
        <w:rPr>
          <w:sz w:val="20"/>
          <w:szCs w:val="20"/>
          <w:color w:val="auto"/>
        </w:rPr>
      </w:pPr>
      <w:r>
        <w:rPr>
          <w:rFonts w:ascii="Times New Roman" w:cs="Times New Roman" w:eastAsia="Times New Roman" w:hAnsi="Times New Roman"/>
          <w:sz w:val="18"/>
          <w:szCs w:val="18"/>
          <w:color w:val="auto"/>
        </w:rPr>
        <w:t>We used the discount rate to calculate the present value of the lease liability at the date of adoption. In the development of the discount rate, we considered our incremental borrowing rate as provided by our lender which was based on cash collateral and credit risk specific to us, and our lease portfolio characteristics.</w:t>
      </w:r>
    </w:p>
    <w:p>
      <w:pPr>
        <w:spacing w:after="0" w:line="176" w:lineRule="exact"/>
        <w:rPr>
          <w:sz w:val="20"/>
          <w:szCs w:val="20"/>
          <w:color w:val="auto"/>
        </w:rPr>
      </w:pPr>
    </w:p>
    <w:p>
      <w:pPr>
        <w:ind w:left="980" w:right="580"/>
        <w:spacing w:after="0" w:line="282" w:lineRule="auto"/>
        <w:rPr>
          <w:sz w:val="20"/>
          <w:szCs w:val="20"/>
          <w:color w:val="auto"/>
        </w:rPr>
      </w:pPr>
      <w:r>
        <w:rPr>
          <w:rFonts w:ascii="Times New Roman" w:cs="Times New Roman" w:eastAsia="Times New Roman" w:hAnsi="Times New Roman"/>
          <w:sz w:val="18"/>
          <w:szCs w:val="18"/>
          <w:color w:val="auto"/>
        </w:rPr>
        <w:t>As of March 28, 2026, the weighted-average discount rate of our operating and finance leases was 5.2% and 4.1%, respectively. As of September 27, 2025, the weighted-average discount rate of our operating and finance leases was 5.2% and 4.1%, respectively.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Practical Expedients and Accounting Policy Elections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elected the package of practical expedients that permits us not to reassess our prior conclusions about lease identification, lease classification and initial direct costs and made an accounting policy election to exclude short-term leases with an initial term of 12 months or less from our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Amounts Recognized in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0"/>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March 28,</w:t>
            </w: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8"/>
                <w:szCs w:val="18"/>
                <w:color w:val="auto"/>
              </w:rPr>
            </w:pPr>
          </w:p>
        </w:tc>
        <w:tc>
          <w:tcPr>
            <w:tcW w:w="800" w:type="dxa"/>
            <w:vAlign w:val="bottom"/>
            <w:gridSpan w:val="4"/>
          </w:tcPr>
          <w:p>
            <w:pPr>
              <w:jc w:val="center"/>
              <w:ind w:left="35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 in Cost of goods sold and Operating Expenses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8,175</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7,758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16,244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cost: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assets in Cost of goods sold and Operating Expenses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Interest on lease liabilities in Interest expense &amp; other</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Short-term lease cost in Cost of goods sold and Operating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6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net lease cost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7,776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16,549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Pr>
          <w:p>
            <w:pPr>
              <w:spacing w:after="0"/>
              <w:rPr>
                <w:sz w:val="24"/>
                <w:szCs w:val="24"/>
                <w:color w:val="auto"/>
              </w:rPr>
            </w:pPr>
          </w:p>
        </w:tc>
        <w:tc>
          <w:tcPr>
            <w:tcW w:w="144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September 27,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4"/>
          </w:tcPr>
          <w:p>
            <w:pPr>
              <w:jc w:val="center"/>
              <w:ind w:left="557"/>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center"/>
              <w:ind w:right="295"/>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149,591</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151,538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23,064</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138,737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161,801</w:t>
            </w: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161,645</w:t>
            </w:r>
          </w:p>
        </w:tc>
        <w:tc>
          <w:tcPr>
            <w:tcW w:w="80" w:type="dxa"/>
            <w:vAlign w:val="bottom"/>
            <w:tcBorders>
              <w:bottom w:val="single" w:sz="8" w:color="CCEEFF"/>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 in Property, plant and equipment, net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1,762</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615</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0"/>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March 28,</w:t>
            </w: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8"/>
                <w:szCs w:val="18"/>
                <w:color w:val="auto"/>
              </w:rPr>
            </w:pPr>
          </w:p>
        </w:tc>
        <w:tc>
          <w:tcPr>
            <w:tcW w:w="800" w:type="dxa"/>
            <w:vAlign w:val="bottom"/>
            <w:gridSpan w:val="4"/>
          </w:tcPr>
          <w:p>
            <w:pPr>
              <w:jc w:val="center"/>
              <w:ind w:left="35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7,737</w:t>
            </w:r>
          </w:p>
        </w:tc>
        <w:tc>
          <w:tcPr>
            <w:tcW w:w="60" w:type="dxa"/>
            <w:vAlign w:val="bottom"/>
          </w:tcPr>
          <w:p>
            <w:pPr>
              <w:spacing w:after="0"/>
              <w:rPr>
                <w:sz w:val="17"/>
                <w:szCs w:val="17"/>
                <w:color w:val="auto"/>
              </w:rPr>
            </w:pPr>
          </w:p>
        </w:tc>
        <w:tc>
          <w:tcPr>
            <w:tcW w:w="64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7,345</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60" w:type="dxa"/>
            <w:vAlign w:val="bottom"/>
          </w:tcPr>
          <w:p>
            <w:pPr>
              <w:spacing w:after="0"/>
              <w:rPr>
                <w:sz w:val="17"/>
                <w:szCs w:val="17"/>
                <w:color w:val="auto"/>
              </w:rPr>
            </w:pPr>
          </w:p>
        </w:tc>
        <w:tc>
          <w:tcPr>
            <w:tcW w:w="64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noncash information on lease liabilities arising from obtaining right-of-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use assets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7,036</w:t>
            </w:r>
          </w:p>
        </w:tc>
        <w:tc>
          <w:tcPr>
            <w:tcW w:w="60" w:type="dxa"/>
            <w:vAlign w:val="bottom"/>
          </w:tcPr>
          <w:p>
            <w:pPr>
              <w:spacing w:after="0"/>
              <w:rPr>
                <w:sz w:val="18"/>
                <w:szCs w:val="18"/>
                <w:color w:val="auto"/>
              </w:rPr>
            </w:pPr>
          </w:p>
        </w:tc>
        <w:tc>
          <w:tcPr>
            <w:tcW w:w="64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9,035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noncash information on lease liabilities removed due to purchase of</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leased asset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2"/>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As of March 28, 2026, the maturities of lease liabilities were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c>
          <w:tcPr>
            <w:tcW w:w="100" w:type="dxa"/>
            <w:vAlign w:val="bottom"/>
          </w:tcPr>
          <w:p>
            <w:pPr>
              <w:spacing w:after="0"/>
              <w:rPr>
                <w:sz w:val="24"/>
                <w:szCs w:val="24"/>
                <w:color w:val="auto"/>
              </w:rPr>
            </w:pPr>
          </w:p>
        </w:tc>
        <w:tc>
          <w:tcPr>
            <w:tcW w:w="144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Finance Leases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ending September 26, 2026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29,428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20,787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110,691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minimum payments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221,535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(59,734)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161,801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28, 2026 the weighted-average remaining term of our operating and finance leases was 11.0 years and 3.6 years, respectively.</w:t>
      </w:r>
    </w:p>
    <w:p>
      <w:pPr>
        <w:spacing w:after="0" w:line="22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As of September 27, 2025 the weighted-average remaining term of our operating and finance leases was 11.4 years and 4.1 years, respectively.</w:t>
      </w:r>
    </w:p>
    <w:p>
      <w:pPr>
        <w:sectPr>
          <w:pgSz w:w="11900" w:h="16838" w:orient="portrait"/>
          <w:cols w:equalWidth="0" w:num="1">
            <w:col w:w="10140"/>
          </w:cols>
          <w:pgMar w:left="1300" w:top="580" w:right="459" w:bottom="0" w:gutter="0" w:footer="0" w:header="0"/>
        </w:sectPr>
      </w:pPr>
    </w:p>
    <w:bookmarkStart w:id="20" w:name="page21"/>
    <w:bookmarkEnd w:id="20"/>
    <w:p>
      <w:pPr>
        <w:spacing w:after="0" w:line="266" w:lineRule="auto"/>
        <w:rPr>
          <w:sz w:val="20"/>
          <w:szCs w:val="20"/>
          <w:color w:val="auto"/>
        </w:rPr>
      </w:pPr>
      <w:r>
        <w:rPr>
          <w:rFonts w:ascii="Times New Roman" w:cs="Times New Roman" w:eastAsia="Times New Roman" w:hAnsi="Times New Roman"/>
          <w:sz w:val="18"/>
          <w:szCs w:val="18"/>
          <w:color w:val="auto"/>
        </w:rPr>
        <w:t>During the three- and six-months ending March 28, 2026, the Company recorded a non-cash impairment charge of $0.9 million related to the right-of-use asset of a corporate office lease. The charge is recorded within Administrative Operating Expenses on the Consolidated Statements of Earnings.</w:t>
      </w:r>
    </w:p>
    <w:p>
      <w:pPr>
        <w:spacing w:after="0" w:line="17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1300" w:top="121" w:right="439" w:bottom="1440" w:gutter="0" w:footer="0" w:header="0"/>
        </w:sectPr>
      </w:pPr>
    </w:p>
    <w:bookmarkStart w:id="21" w:name="page22"/>
    <w:bookmarkEnd w:id="2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8"/>
          <w:szCs w:val="18"/>
          <w:b w:val="1"/>
          <w:bCs w:val="1"/>
          <w:color w:val="auto"/>
        </w:rPr>
        <w:t>Related Parties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NFI Industries, Inc.</w:t>
      </w:r>
    </w:p>
    <w:p>
      <w:pPr>
        <w:spacing w:after="0" w:line="225" w:lineRule="exact"/>
        <w:rPr>
          <w:sz w:val="20"/>
          <w:szCs w:val="20"/>
          <w:color w:val="auto"/>
        </w:rPr>
      </w:pPr>
    </w:p>
    <w:p>
      <w:pPr>
        <w:ind w:left="980" w:right="380"/>
        <w:spacing w:after="0" w:line="282" w:lineRule="auto"/>
        <w:rPr>
          <w:sz w:val="20"/>
          <w:szCs w:val="20"/>
          <w:color w:val="auto"/>
        </w:rPr>
      </w:pPr>
      <w:r>
        <w:rPr>
          <w:rFonts w:ascii="Times New Roman" w:cs="Times New Roman" w:eastAsia="Times New Roman" w:hAnsi="Times New Roman"/>
          <w:sz w:val="18"/>
          <w:szCs w:val="18"/>
          <w:color w:val="auto"/>
        </w:rPr>
        <w:t>We have related party expenses for distribution and shipping related costs with NFI Industries, Inc. and its affiliated entities (“NFI”). Our director, Sidney R. Brown, is CEO and an owner of NFI Industries, Inc.</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The payments to NFI were as follows: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1"/>
        </w:trPr>
        <w:tc>
          <w:tcPr>
            <w:tcW w:w="4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3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Pr>
          <w:p>
            <w:pPr>
              <w:spacing w:after="0"/>
              <w:rPr>
                <w:sz w:val="17"/>
                <w:szCs w:val="17"/>
                <w:color w:val="auto"/>
              </w:rPr>
            </w:pPr>
          </w:p>
        </w:tc>
      </w:tr>
      <w:tr>
        <w:trPr>
          <w:trHeight w:val="238"/>
        </w:trPr>
        <w:tc>
          <w:tcPr>
            <w:tcW w:w="4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32"/>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Pr>
          <w:p>
            <w:pPr>
              <w:spacing w:after="0"/>
              <w:rPr>
                <w:sz w:val="20"/>
                <w:szCs w:val="20"/>
                <w:color w:val="auto"/>
              </w:rPr>
            </w:pPr>
          </w:p>
        </w:tc>
      </w:tr>
      <w:tr>
        <w:trPr>
          <w:trHeight w:val="194"/>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management services payments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Labor management services payments (2)</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payments (3)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Pass through payments to third parties (4)</w:t>
            </w: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r>
      <w:tr>
        <w:trPr>
          <w:trHeight w:val="223"/>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amount distributed to NFI</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20" w:right="60" w:hanging="316"/>
        <w:spacing w:after="0" w:line="282"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contracted with NFI for transportation management services, which involves the arrangement for the distribution of the Company's goods. This amount represents the payments for management fees associated with this service.</w:t>
      </w:r>
    </w:p>
    <w:p>
      <w:pPr>
        <w:spacing w:after="0" w:line="161" w:lineRule="exact"/>
        <w:rPr>
          <w:rFonts w:ascii="Times New Roman" w:cs="Times New Roman" w:eastAsia="Times New Roman" w:hAnsi="Times New Roman"/>
          <w:sz w:val="18"/>
          <w:szCs w:val="18"/>
          <w:color w:val="auto"/>
        </w:rPr>
      </w:pPr>
    </w:p>
    <w:p>
      <w:pPr>
        <w:ind w:left="1620" w:right="300" w:hanging="316"/>
        <w:spacing w:after="0" w:line="282"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entered into a master service agreement with NFI for the operations and labor management of our three regional distribution centers. This amount represents the payments to NFI for services rendered under this contract.</w:t>
      </w:r>
    </w:p>
    <w:p>
      <w:pPr>
        <w:spacing w:after="0" w:line="161" w:lineRule="exact"/>
        <w:rPr>
          <w:rFonts w:ascii="Times New Roman" w:cs="Times New Roman" w:eastAsia="Times New Roman" w:hAnsi="Times New Roman"/>
          <w:sz w:val="18"/>
          <w:szCs w:val="18"/>
          <w:color w:val="auto"/>
        </w:rPr>
      </w:pPr>
    </w:p>
    <w:p>
      <w:pPr>
        <w:ind w:left="1620" w:right="20" w:hanging="316"/>
        <w:spacing w:after="0" w:line="253"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the Company began leasing a regional distribution center in Terrell, Texas that was constructed by, and is owned by, a subsidiary of NFI. This amount represents the lease payments associated with the lease arrangement. At the lease commencement date, $28.7 million was recorded as an operating right-of-use asset, $0.2 million was recorded as a current operating lease liability, and $28.5 million was recorded as a non-current operating lease liability. As of March 28, 2026, $26.0 million was recorded as an operating right-of-use asset, $0.7 million was recorded as a current operating lease liability, and $27.1 million was recorded as a non-current operating lease liability. As of September 27, 2025, $26.5 million was recorded as an operating right-of-use asset,</w:t>
      </w:r>
    </w:p>
    <w:p>
      <w:pPr>
        <w:spacing w:after="0" w:line="5" w:lineRule="exact"/>
        <w:rPr>
          <w:rFonts w:ascii="Times New Roman" w:cs="Times New Roman" w:eastAsia="Times New Roman" w:hAnsi="Times New Roman"/>
          <w:sz w:val="18"/>
          <w:szCs w:val="18"/>
          <w:color w:val="auto"/>
        </w:rPr>
      </w:pPr>
    </w:p>
    <w:p>
      <w:pPr>
        <w:ind w:left="1620" w:right="4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was recorded as a current operating lease liability, and $27.4 million was recorded as a non-current operating lease liability.</w:t>
      </w:r>
    </w:p>
    <w:p>
      <w:pPr>
        <w:spacing w:after="0" w:line="18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passed through payments to third-party distribution and shipping vendors that are managed on the Company's behalf by NFI.</w:t>
      </w:r>
    </w:p>
    <w:p>
      <w:pPr>
        <w:spacing w:after="0" w:line="162" w:lineRule="exact"/>
        <w:rPr>
          <w:sz w:val="20"/>
          <w:szCs w:val="20"/>
          <w:color w:val="auto"/>
        </w:rPr>
      </w:pPr>
    </w:p>
    <w:p>
      <w:pPr>
        <w:ind w:left="980" w:right="340"/>
        <w:spacing w:after="0" w:line="282" w:lineRule="auto"/>
        <w:rPr>
          <w:sz w:val="20"/>
          <w:szCs w:val="20"/>
          <w:color w:val="auto"/>
        </w:rPr>
      </w:pPr>
      <w:r>
        <w:rPr>
          <w:rFonts w:ascii="Times New Roman" w:cs="Times New Roman" w:eastAsia="Times New Roman" w:hAnsi="Times New Roman"/>
          <w:sz w:val="18"/>
          <w:szCs w:val="18"/>
          <w:color w:val="auto"/>
        </w:rPr>
        <w:t>As of March 28, 2026, and September 27, 2025, related party trade payables of approximately $3.8 million and $0.6 million, respectively, were recorded as accounts payable.</w:t>
      </w:r>
    </w:p>
    <w:p>
      <w:pPr>
        <w:spacing w:after="0" w:line="162" w:lineRule="exact"/>
        <w:rPr>
          <w:sz w:val="20"/>
          <w:szCs w:val="20"/>
          <w:color w:val="auto"/>
        </w:rPr>
      </w:pPr>
    </w:p>
    <w:p>
      <w:pPr>
        <w:ind w:left="980" w:right="220"/>
        <w:spacing w:after="0" w:line="282" w:lineRule="auto"/>
        <w:rPr>
          <w:sz w:val="20"/>
          <w:szCs w:val="20"/>
          <w:color w:val="auto"/>
        </w:rPr>
      </w:pPr>
      <w:r>
        <w:rPr>
          <w:rFonts w:ascii="Times New Roman" w:cs="Times New Roman" w:eastAsia="Times New Roman" w:hAnsi="Times New Roman"/>
          <w:sz w:val="18"/>
          <w:szCs w:val="18"/>
          <w:color w:val="auto"/>
        </w:rPr>
        <w:t>All agreements with NFI include terms that are consistent with those that we believe would have been negotiated at an arm’s length with an independent party.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Ken Roshkoff</w:t>
      </w:r>
    </w:p>
    <w:p>
      <w:pPr>
        <w:spacing w:after="0" w:line="225" w:lineRule="exact"/>
        <w:rPr>
          <w:sz w:val="20"/>
          <w:szCs w:val="20"/>
          <w:color w:val="auto"/>
        </w:rPr>
      </w:pPr>
    </w:p>
    <w:p>
      <w:pPr>
        <w:ind w:left="980" w:right="120"/>
        <w:spacing w:after="0" w:line="282" w:lineRule="auto"/>
        <w:rPr>
          <w:sz w:val="20"/>
          <w:szCs w:val="20"/>
          <w:color w:val="auto"/>
        </w:rPr>
      </w:pPr>
      <w:r>
        <w:rPr>
          <w:rFonts w:ascii="Times New Roman" w:cs="Times New Roman" w:eastAsia="Times New Roman" w:hAnsi="Times New Roman"/>
          <w:sz w:val="18"/>
          <w:szCs w:val="18"/>
          <w:color w:val="auto"/>
        </w:rPr>
        <w:t>The Company pays board advisory consulting fees to the husband of our director, Marjorie Roshkoff. In both the three and six months ended March 28, 2026 and March 29, 2025, the Company paid $13,000 and $26,000 for these board advisory consulting fees,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Reclassifications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Certain prior year financial statements amounts have been reclassified to be consistent with the presentation for the current year.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Share repurchase programs</w:t>
      </w:r>
    </w:p>
    <w:p>
      <w:pPr>
        <w:spacing w:after="0" w:line="229"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On February 3, 2025, the Company announced that the Board of Directors authorized a share repurchase program (the 2025 Share Repurchase Program) pursuant to which the Company could repurchase up to $50.0 million of the Company’s common stock, exclusive of any fees, commissions, and other expenses related to such repurchases. Under the 2025 Share Repurchase Program, the Company may repurchase its common stock from time to time, in amounts, at prices, and at such times as the Company deems appropriate, subject to market conditions, legal requirements, and other considerations. The Company’s repurchases may be executed using open market purchases, unsolicited or solicited privately negotiated transactions, or other transactions, and may be affected pursuant to trading plans intended to qualify under Rule 10b5-1 of the Securities Exchange Act of 1934, as amended. The 2025 Share Repurchase Program is effective for two years; however, the 2025 Share Repurchase Program does not obligate the Company to repurchase any specific number of shares and may be suspended, modified or terminated at any time without prior notice.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50" w:gutter="0" w:footer="0" w:header="0"/>
        </w:sectPr>
      </w:pPr>
    </w:p>
    <w:bookmarkStart w:id="22" w:name="page23"/>
    <w:bookmarkEnd w:id="22"/>
    <w:p>
      <w:pPr>
        <w:ind w:left="980" w:right="30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29, 2025, the Company repurchased 39,061 shares of common stock of the Company at an average price of $128.00 per share on the open market, pursuant to the 2025 Share Repurchase Program. As of the date of the repurchase, the repurchased shares were retired and returned to the status of authorized but unissued shares of common stock.</w:t>
      </w:r>
    </w:p>
    <w:p>
      <w:pPr>
        <w:spacing w:after="0" w:line="176" w:lineRule="exact"/>
        <w:rPr>
          <w:sz w:val="20"/>
          <w:szCs w:val="20"/>
          <w:color w:val="auto"/>
        </w:rPr>
      </w:pPr>
    </w:p>
    <w:p>
      <w:pPr>
        <w:ind w:left="980" w:right="100"/>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27, 2025, the Company repurchased 458,467 shares of common stock of the Company at an average price of $91.61 per share on the open market, pursuant to the 2025 Share Repurchase Program. As of the date of the repurchase, the repurchased shares were retired and returned to the status of authorized but unissued shares of common stock. As of December 27, 2025, the Company had fully exhausted its share repurchase ability under the 2025 Share Repurchase Program.</w:t>
      </w:r>
    </w:p>
    <w:p>
      <w:pPr>
        <w:spacing w:after="0" w:line="180"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On February 3, 2026, the Company announced that the Board of Directors authorized a new share repurchase program (the “2026 Share Repurchase Program”) pursuant to which the Company could repurchase up to $50.0 million of the Company’s common stock, exclusive of any fees, commissions, and other expenses related to such repurchases. Under the 2026 Share Repurchase Program, the Company may repurchase its common stock from time to time, in amounts, at prices, and at such times as the Company deems appropriate, subject to market conditions, legal requirements, and other considerations. The Company’s repurchases may be executed using open market purchases, unsolicited or solicited privately negotiated transactions, or other transactions, and may be affected pursuant to trading plans intended to qualify under Rule 10b5-1 of the Securities Exchange Act of 1934, as amended. The 2026 Share Repurchase Program is effective for approximately two years, however, the 2026 Share Repurchase Program does not obligate the Company to repurchase any specific number of shares and may be suspended, modified or terminated at any time without prior notice.</w:t>
      </w:r>
    </w:p>
    <w:p>
      <w:pPr>
        <w:spacing w:after="0" w:line="188"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28, 2026, the Company repurchased 259,889 shares of common stock of the Company at an average price of $84.56 per share on the open market, pursuant to the 2026 Share Repurchase Program. As of the date of the repurchase, the repurchased shares were retired and returned to the status of authorized but unissued shares of common stock. As a result of the Company’s recent stock repurchases, as of March 28, 2026, there remains $28.0 million of share repurchase availability under the 2026 Share Repurchase Program.</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1"/>
        </w:trPr>
        <w:tc>
          <w:tcPr>
            <w:tcW w:w="4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3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Pr>
          <w:p>
            <w:pPr>
              <w:spacing w:after="0"/>
              <w:rPr>
                <w:sz w:val="17"/>
                <w:szCs w:val="17"/>
                <w:color w:val="auto"/>
              </w:rPr>
            </w:pPr>
          </w:p>
        </w:tc>
      </w:tr>
      <w:tr>
        <w:trPr>
          <w:trHeight w:val="238"/>
        </w:trPr>
        <w:tc>
          <w:tcPr>
            <w:tcW w:w="4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 (in thousands)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Average price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 thousands) including fees and excise tax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22,571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64,571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Manufacturing and Distribution Facility Closures and Disposals</w:t>
      </w:r>
    </w:p>
    <w:p>
      <w:pPr>
        <w:spacing w:after="0" w:line="229" w:lineRule="exact"/>
        <w:rPr>
          <w:sz w:val="20"/>
          <w:szCs w:val="20"/>
          <w:color w:val="auto"/>
        </w:rPr>
      </w:pPr>
    </w:p>
    <w:p>
      <w:pPr>
        <w:ind w:left="980"/>
        <w:spacing w:after="0" w:line="255" w:lineRule="auto"/>
        <w:rPr>
          <w:sz w:val="20"/>
          <w:szCs w:val="20"/>
          <w:color w:val="auto"/>
        </w:rPr>
      </w:pPr>
      <w:r>
        <w:rPr>
          <w:rFonts w:ascii="Times New Roman" w:cs="Times New Roman" w:eastAsia="Times New Roman" w:hAnsi="Times New Roman"/>
          <w:sz w:val="18"/>
          <w:szCs w:val="18"/>
          <w:color w:val="auto"/>
        </w:rPr>
        <w:t>During the fourth quarter of fiscal 2025, we announced the closure of two manufacturing facilities, our plant in Holly Ridge, North Carolina, and our plant in Atlanta, Georgia. In October 2025, during the first quarter of fiscal 2026, we subsequently announced the closure of a third manufacturing facility, our plant in Colton, California. In March 2026, during the second quarter of fiscal 2026, we made the decision to close a fourth facility, our manufacturing/distribution facility in New York, New York, which is expected to close in our third fiscal quarter. Production from these facilities will either be consolidated into various other facilities across our network, or it will be discontinued. This consolidation was enabled by investments we have made in our plants to modernize and expand capacity for our core products, as well as our investments made to build out our three regional distribution centers.</w:t>
      </w:r>
    </w:p>
    <w:p>
      <w:pPr>
        <w:spacing w:after="0" w:line="189" w:lineRule="exact"/>
        <w:rPr>
          <w:sz w:val="20"/>
          <w:szCs w:val="20"/>
          <w:color w:val="auto"/>
        </w:rPr>
      </w:pPr>
    </w:p>
    <w:p>
      <w:pPr>
        <w:ind w:left="980"/>
        <w:spacing w:after="0" w:line="256" w:lineRule="auto"/>
        <w:rPr>
          <w:sz w:val="20"/>
          <w:szCs w:val="20"/>
          <w:color w:val="auto"/>
        </w:rPr>
      </w:pPr>
      <w:r>
        <w:rPr>
          <w:rFonts w:ascii="Times New Roman" w:cs="Times New Roman" w:eastAsia="Times New Roman" w:hAnsi="Times New Roman"/>
          <w:sz w:val="18"/>
          <w:szCs w:val="18"/>
          <w:color w:val="auto"/>
        </w:rPr>
        <w:t>As a result of the plant closures, we recorded charges of $4.8 million and $10.9 million in three and six months ended March 28, 2026, respectively. These costs are reported in the plant closure expenses item within the Operating expenses sections of the Consolidated Statements of Income. Included in the results in the three months ended March 28, 2026 are $1.6 million of charges that have resulted or will result in cash outflows, and $3.2 million of non-cash charges. Included in the results in the six months ended March 28, 2026 are $5.9 million of charges that have resulted or will result in cash outflows, and $5.0 million of non-cash charges. No plant closure expenses were recorded in the three or six months ended March 29, 2025.</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3" w:name="page24"/>
    <w:bookmarkEnd w:id="23"/>
    <w:p>
      <w:pPr>
        <w:ind w:left="980" w:right="20"/>
        <w:spacing w:after="0" w:line="255" w:lineRule="auto"/>
        <w:rPr>
          <w:sz w:val="20"/>
          <w:szCs w:val="20"/>
          <w:color w:val="auto"/>
        </w:rPr>
      </w:pPr>
      <w:r>
        <w:rPr>
          <w:rFonts w:ascii="Times New Roman" w:cs="Times New Roman" w:eastAsia="Times New Roman" w:hAnsi="Times New Roman"/>
          <w:sz w:val="18"/>
          <w:szCs w:val="18"/>
          <w:color w:val="auto"/>
        </w:rPr>
        <w:t>The manufacturing facility in Holly Ridge, NC produced handheld products for our Food Service and Retail Supermarket segments and ceased production on July 31, 2025. During the three months ended March 28, 2026, in connection with our plan to actively market and sell the building and land at Holly Ridge, NC, we reclassified $6.3 million of property, plant, and equipment, net, to assets held for sale as of March 28, 2026. We then measured the assets held for sale at the lower of their carrying value or fair value less the estimated costs to sell, and recorded a pre-tax, non-cash impairment charge of $2.0 million during the three months ended March 28, 2026. The remaining $4.3 million of assets held for sale are reported in the Prepaid expenses and other item, within current assets, on our Consolidated Balance Sheet. We expect to be able to sell the building and land for fair value less the estimated costs to sell, within the next twelve months.</w:t>
      </w:r>
    </w:p>
    <w:p>
      <w:pPr>
        <w:spacing w:after="0" w:line="189" w:lineRule="exact"/>
        <w:rPr>
          <w:sz w:val="20"/>
          <w:szCs w:val="20"/>
          <w:color w:val="auto"/>
        </w:rPr>
      </w:pPr>
    </w:p>
    <w:p>
      <w:pPr>
        <w:ind w:left="980" w:right="20"/>
        <w:spacing w:after="0" w:line="261" w:lineRule="auto"/>
        <w:rPr>
          <w:sz w:val="20"/>
          <w:szCs w:val="20"/>
          <w:color w:val="auto"/>
        </w:rPr>
      </w:pPr>
      <w:r>
        <w:rPr>
          <w:rFonts w:ascii="Times New Roman" w:cs="Times New Roman" w:eastAsia="Times New Roman" w:hAnsi="Times New Roman"/>
          <w:sz w:val="18"/>
          <w:szCs w:val="18"/>
          <w:color w:val="auto"/>
        </w:rPr>
        <w:t>The closure costs for the facility totaled $3.0 million in the three months ended March 28, 2026, including $2.0 million of impairment charges on assets held-for-sale noted above, and $1.0 million of other exit and disposal costs. The closure costs for the facility totaled $3.4 million in the six months ended March 28, 2026, including the $2.0 million impairment charge on assets held-for-sale noted above, and $1.4 million of other exit and disposal costs. These costs are reported in the plant closure expenses item of the Consolidated Statements of Earnings.</w:t>
      </w:r>
    </w:p>
    <w:p>
      <w:pPr>
        <w:spacing w:after="0" w:line="180" w:lineRule="exact"/>
        <w:rPr>
          <w:sz w:val="20"/>
          <w:szCs w:val="20"/>
          <w:color w:val="auto"/>
        </w:rPr>
      </w:pPr>
    </w:p>
    <w:p>
      <w:pPr>
        <w:ind w:left="980"/>
        <w:spacing w:after="0" w:line="256" w:lineRule="auto"/>
        <w:rPr>
          <w:sz w:val="20"/>
          <w:szCs w:val="20"/>
          <w:color w:val="auto"/>
        </w:rPr>
      </w:pPr>
      <w:r>
        <w:rPr>
          <w:rFonts w:ascii="Times New Roman" w:cs="Times New Roman" w:eastAsia="Times New Roman" w:hAnsi="Times New Roman"/>
          <w:sz w:val="18"/>
          <w:szCs w:val="18"/>
          <w:color w:val="auto"/>
        </w:rPr>
        <w:t>The manufacturing facility in Atlanta, GA produced bakery and biscuit products for our Food Service and Retail Supermarket segments and ceased production on September 27, 2025. The closure costs for the facility totaled $0.6 million in the three months ended March 28, 2026, including $0.3 million of inventory write-offs, and $0.3 million of other exit and disposal costs. The closure costs for the facility totaled $4.2 million in the six months ended March 28 2026, including $2.0 million of other exit and disposal costs, $1.7 million of inventory write-offs, and $0.5 million of severance and benefits costs. These costs are reported in the plant closure expenses item of the Consolidated Statements of Earnings.</w:t>
      </w:r>
    </w:p>
    <w:p>
      <w:pPr>
        <w:spacing w:after="0" w:line="187" w:lineRule="exact"/>
        <w:rPr>
          <w:sz w:val="20"/>
          <w:szCs w:val="20"/>
          <w:color w:val="auto"/>
        </w:rPr>
      </w:pPr>
    </w:p>
    <w:p>
      <w:pPr>
        <w:ind w:left="980" w:right="240"/>
        <w:spacing w:after="0" w:line="277" w:lineRule="auto"/>
        <w:rPr>
          <w:sz w:val="20"/>
          <w:szCs w:val="20"/>
          <w:color w:val="auto"/>
        </w:rPr>
      </w:pPr>
      <w:r>
        <w:rPr>
          <w:rFonts w:ascii="Times New Roman" w:cs="Times New Roman" w:eastAsia="Times New Roman" w:hAnsi="Times New Roman"/>
          <w:sz w:val="17"/>
          <w:szCs w:val="17"/>
          <w:color w:val="auto"/>
        </w:rPr>
        <w:t>The manufacturing facility in Colton, CA produced churro products for our Food Service and Retail Supermarket segments and ceased production in the first quarter of fiscal 2026. The closure costs for the facility totaled $0.1 million in three months ended March 28, 2026, including $0.1 million of other exit and disposal costs. The closure costs for the facility totaled $2.2 million in the six months ended March 28, 2026, including $1.4 million of severance and benefits costs, $0.4 million of long-lived asset impairment charges, and $0.4 million of other exit and disposal costs. These costs are reported in the plant closure expenses item of the Consolidated Statements of Earnings.</w:t>
      </w:r>
    </w:p>
    <w:p>
      <w:pPr>
        <w:spacing w:after="0" w:line="168"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The manufacturing and distribution facility in New York, NY produced and distributed soft pretzel products for our Food Service segment and is expected to cease production during the third quarter of our fiscal 2026. The closure costs for the facility totaled $1.1 million in the three and six months ended March 28, 2026, including $0.9 million of right-of-use (“ROU”) asset and long-lived asset impairment charges and $0.2 million of severance and benefits costs. These costs are reported in the plant closure expenses item of the Consolidated Statements of Earnings.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reflects our liability related to manufacturing and distribution facility closures as of March 28, 2026 (in thousands):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Plant closure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Plant closure</w:t>
            </w:r>
          </w:p>
        </w:tc>
        <w:tc>
          <w:tcPr>
            <w:tcW w:w="16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March 28,</w:t>
            </w:r>
          </w:p>
        </w:tc>
      </w:tr>
      <w:tr>
        <w:trPr>
          <w:trHeight w:val="238"/>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payments</w:t>
            </w: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benefits costs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7"/>
              </w:rPr>
              <w:t>(4,392)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exit and disposal costs</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(3,895)</w:t>
            </w:r>
          </w:p>
        </w:tc>
        <w:tc>
          <w:tcPr>
            <w:tcW w:w="1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5,831</w:t>
            </w: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(8,287)</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Statements made in this Form 10-Q that are not historical or current facts are “forward-looking statements” made pursuant to the safe harbor provisions of Section 27A of the Securities Act of 1933, as amended (the “Securities Act”), and Section 21E of the Securities Exchange Act of 1934, as amended (the “Exchange Act”). These statements discuss goals, intentions and expectations as to future trends, plans, events, results of operations or financial condition, or state other information relating to us, based on our current beliefs as well as assumptions made by us and information currently available to us. Forward-looking statements generally will be accompanied by words such as "anticipate," "if," "may," "believe," "plan,", "goals," "estimate," "expect," "project," "continue," "forecast," "intend," "may," "could," "should," "will," and other similar expressions. Statements addressing our future operating performance and statements addressing events and developments that we expect or anticipate will occur are also considered as forward-looking statements. This includes, without limitation, our statements and expectations regarding any current or future recovery in our industry (or the industries of our customers), the success of new product innovations, and the future impact of our supply chain efficiency projects, including investments in additional production capacity and logistics and warehousing operations. Such forward-looking statements are inherently uncertain, and readers must recognize that actual results may differ materially from the expectations of management. We intend that such forward-looking statements be subject to the safe harbor provisions of the Securities Act and the Exchange Act.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ind w:right="240"/>
        <w:spacing w:after="0" w:line="277" w:lineRule="auto"/>
        <w:rPr>
          <w:sz w:val="20"/>
          <w:szCs w:val="20"/>
          <w:color w:val="auto"/>
        </w:rPr>
      </w:pPr>
      <w:r>
        <w:rPr>
          <w:rFonts w:ascii="Times New Roman" w:cs="Times New Roman" w:eastAsia="Times New Roman" w:hAnsi="Times New Roman"/>
          <w:sz w:val="17"/>
          <w:szCs w:val="17"/>
          <w:color w:val="auto"/>
        </w:rPr>
        <w:t>We wish to caution readers not to place undue reliance on any such forward-looking statements, which speak as of the date made. Any forward-looking statements represent management’s best judgment as to what may occur in the future. However, forward-looking statements are subject to risks, uncertainties, and important factors beyond our control that could cause actual results and events to differ materially from historical results of operations and events and those presently anticipated or projected. We disclaim any obligation to revise, update, add or to otherwise correct, any forward-looking statements to reflect events or circumstances after the date of such statement or to reflect the occurrence of anticipated or unanticipated events.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Objective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intended to provide readers of our financial statements with a narrative form from the perspective of our management regarding our financial condition and results of operations, liquidity and certain other factors that may affect our future results. The following discussion should be read in conjunction with the consolidated financial statements and accompanying notes included in Part I, Item 1 of this Quarterly Report on Form 10-Q and within the Company’s Annual Report on Form 10-K filed for the fiscal year ended September 27, 2025.</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manufactures and sells snack foods and distributes frozen beverages which it markets nationally to the foodservice and retail supermarket industries. The Company’s principal snack food products are soft pretzels, frozen novelties, churros and bakery products. We believe we are the largest manufacturer of soft pretzels in the United States. Other snack food products include donuts, churros, cookies, funnel cake and handheld products. The Company’s principal frozen beverage products are the ICEE brand frozen carbonated beverage and the SLUSH PUPPIE brand frozen non-carbonated beverage.</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Food Service and Frozen Beverage sales are made principally to foodservice customers including snack bar and food stand locations in leading chain, department, discount, warehouse club and convenience stores; malls and shopping centers; fast food and casual dining restaurants; stadiums and sports arenas; leisure and theme parks; movie theaters; independent retailers; and schools, colleges and other institutions. The Company’s Retail Supermarket customers are primarily supermarket chains.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Trends and Strategy</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products are generally sold for discretionary consumption. Our results are impacted by macroeconomic and demographic trends and changes in consumer behavior. The U.S. economy has experienced economic volatility and uncertainty in recent years, which has had, and we expect might continue to have, an impact on consumer behavior. Consumer spending may continue to be impacted by levels of discretionary income and the impact of that on the consumer’s decisions making around their purchases. In addition, inflation continues to impact our business and fluctuating raw material input costs may continue to impact the cost of our products.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While overall packaging and raw material inflation appears to be moderating for fiscal 2026, uncertainty within the supply chain surrounding impacts from the US government’s tariffs on imports, as well as rising fuel costs, could continue to be potential headwinds for the Company in fiscal 2026. Tariffs may increase the cost of certain raw materials and packaging that we use in our business, and our financial performance may be adversely impacted if we are unable to pass on the cost increases in the form of price increases to our customers. Additionally, the ultimate impact of tariffs may be difficult to predict as tariff rates and duration remain uncertain, which can make our planning process more challenging.</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To help combat these potential headwinds, we continue to pursue operational improvements, as well as expand growth opportunities across our various channels and customers. Some recent examples of implementing these strategies include:</w:t>
      </w:r>
    </w:p>
    <w:p>
      <w:pPr>
        <w:spacing w:after="0" w:line="162" w:lineRule="exact"/>
        <w:rPr>
          <w:sz w:val="20"/>
          <w:szCs w:val="20"/>
          <w:color w:val="auto"/>
        </w:rPr>
      </w:pPr>
    </w:p>
    <w:p>
      <w:pPr>
        <w:ind w:left="500" w:right="380" w:hanging="330"/>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recently completed strategic supply chain transformation in which we opened three regional distribution centers which is projected to drive significant cost reductions around warehousing and distribution costs.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5" w:name="page26"/>
    <w:bookmarkEnd w:id="25"/>
    <w:p>
      <w:pPr>
        <w:ind w:left="500" w:right="400" w:hanging="330"/>
        <w:spacing w:after="0" w:line="261"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examples of successful cross-selling and leveraging our brands across customer channels, including our recent expansion of Dippin’ Dots brand into retail and further into the theater channel.</w:t>
      </w: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expansion of our SuperPretzel brand across the retail market through the launch of Bavarian Sticks.</w:t>
      </w:r>
    </w:p>
    <w:p>
      <w:pPr>
        <w:spacing w:after="0" w:line="17" w:lineRule="exact"/>
        <w:rPr>
          <w:rFonts w:ascii="Times New Roman" w:cs="Times New Roman" w:eastAsia="Times New Roman" w:hAnsi="Times New Roman"/>
          <w:sz w:val="18"/>
          <w:szCs w:val="18"/>
          <w:color w:val="auto"/>
        </w:rPr>
      </w:pPr>
    </w:p>
    <w:p>
      <w:pPr>
        <w:ind w:left="500" w:right="160" w:hanging="330"/>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recently announced transformation program, “Project Apollo,” which is anticipated to generate sustainable efficiencies and cost savings across the enterprise.</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above referenced Project Apollo is expected to generate at least $20 million of run-rate operating income for the initiatives that are expected to be implemented by the end of fiscal 2026. The initial focus of the project is the consolidation and optimization of our manufacturing network. During the fourth quarter of fiscal 2025, we announced the closure of two manufacturing facilities, our plant in Holly Ridge, North Carolina, and our plant in Atlanta, Georgia. In the first quarter of fiscal 2026, we announced the closure of a third manufacturing facility, our plant in Colton, California. During the second quarter of fiscal 2026, we made the decision to close a fourth facility, our manufacturing/distribution facility in New York, New York, which is expected to close in our third fiscal quarter.</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Production from these facilities will either be consolidated into various other facilities across our network, or it will be discontinued. This consolidation was enabled by investments we have made in our plants to modernize and expand capacity for our core products, as well as our investments made to build out our three regional distribution centers. In connection with the closing of our four facilities, we recorded plant closure costs of approximately $24 million in the fourth quarter of fiscal 2025, and another $4.8 million and $10.9 million in the three and six months ended March 28, 2026, respectively. These costs primarily related to non-cash write-downs and write-offs related to inventory and property, plant and equipment, as well as severance and benefit costs and other exit and disposal activities.</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addition to plant consolidation, as part of the first phase of Project Apollo, we are expecting to optimally reposition production within our network, which we are expecting to generate additional freight savings in fiscal 2026 and beyond, and to streamline our corporate functions, which is expected to generate general and administrative expense savings in fiscal 2026 and beyond.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RESULTS OF OPERATIONS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Three and six months ended March 28, 2026</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 review of results for the three and six months ended March 28, 2026 as compared with the three and six months ended March 29,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Summary of Results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March 29,</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1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2"/>
        </w:trPr>
        <w:tc>
          <w:tcPr>
            <w:tcW w:w="3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32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80" w:type="dxa"/>
            <w:vAlign w:val="bottom"/>
            <w:gridSpan w:val="2"/>
          </w:tcPr>
          <w:p>
            <w:pPr>
              <w:spacing w:after="0"/>
              <w:rPr>
                <w:sz w:val="18"/>
                <w:szCs w:val="18"/>
                <w:color w:val="auto"/>
              </w:rPr>
            </w:pPr>
          </w:p>
        </w:tc>
      </w:tr>
      <w:tr>
        <w:trPr>
          <w:trHeight w:val="212"/>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w:t>
            </w:r>
          </w:p>
        </w:tc>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(in</w:t>
            </w:r>
          </w:p>
        </w:tc>
        <w:tc>
          <w:tcPr>
            <w:tcW w:w="122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3"/>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344,819</w:t>
            </w: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356,099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688,597</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718,697</w:t>
            </w:r>
          </w:p>
        </w:tc>
        <w:tc>
          <w:tcPr>
            <w:tcW w:w="220" w:type="dxa"/>
            <w:vAlign w:val="bottom"/>
            <w:tcBorders>
              <w:left w:val="single" w:sz="8" w:color="CCEEFF"/>
            </w:tcBorders>
            <w:shd w:val="clear" w:color="auto" w:fill="CCEEFF"/>
          </w:tcPr>
          <w:p>
            <w:pPr>
              <w:spacing w:after="0"/>
              <w:rPr>
                <w:sz w:val="17"/>
                <w:szCs w:val="17"/>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245,527</w:t>
            </w:r>
          </w:p>
        </w:tc>
        <w:tc>
          <w:tcPr>
            <w:tcW w:w="2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260,396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493,293</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529,093</w:t>
            </w:r>
          </w:p>
        </w:tc>
        <w:tc>
          <w:tcPr>
            <w:tcW w:w="220" w:type="dxa"/>
            <w:vAlign w:val="bottom"/>
            <w:tcBorders>
              <w:left w:val="single" w:sz="8" w:color="CCEEFF"/>
            </w:tcBorders>
            <w:shd w:val="clear" w:color="auto" w:fill="CCEEFF"/>
          </w:tcPr>
          <w:p>
            <w:pPr>
              <w:spacing w:after="0"/>
              <w:rPr>
                <w:sz w:val="17"/>
                <w:szCs w:val="17"/>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0"/>
        </w:trPr>
        <w:tc>
          <w:tcPr>
            <w:tcW w:w="39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99,292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95,703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195,304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189,604</w:t>
            </w:r>
          </w:p>
        </w:tc>
        <w:tc>
          <w:tcPr>
            <w:tcW w:w="220" w:type="dxa"/>
            <w:vAlign w:val="bottom"/>
          </w:tcPr>
          <w:p>
            <w:pPr>
              <w:spacing w:after="0"/>
              <w:rPr>
                <w:sz w:val="17"/>
                <w:szCs w:val="17"/>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r>
      <w:tr>
        <w:trPr>
          <w:trHeight w:val="196"/>
        </w:trPr>
        <w:tc>
          <w:tcPr>
            <w:tcW w:w="3900" w:type="dxa"/>
            <w:vAlign w:val="bottom"/>
            <w:shd w:val="clear" w:color="auto" w:fill="CCEEFF"/>
          </w:tcPr>
          <w:p>
            <w:pPr>
              <w:spacing w:after="0"/>
              <w:rPr>
                <w:sz w:val="17"/>
                <w:szCs w:val="17"/>
                <w:color w:val="auto"/>
              </w:rPr>
            </w:pPr>
          </w:p>
        </w:tc>
        <w:tc>
          <w:tcPr>
            <w:tcW w:w="100" w:type="dxa"/>
            <w:vAlign w:val="bottom"/>
            <w:tcBorders>
              <w:top w:val="single" w:sz="8" w:color="auto"/>
              <w:lef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top w:val="single" w:sz="8" w:color="auto"/>
              <w:left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Marketing and Selling</w:t>
            </w: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30,083</w:t>
            </w:r>
          </w:p>
        </w:tc>
        <w:tc>
          <w:tcPr>
            <w:tcW w:w="2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28,507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61,582</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57,176</w:t>
            </w:r>
          </w:p>
        </w:tc>
        <w:tc>
          <w:tcPr>
            <w:tcW w:w="220" w:type="dxa"/>
            <w:vAlign w:val="bottom"/>
            <w:tcBorders>
              <w:left w:val="single" w:sz="8" w:color="CCEEFF"/>
            </w:tcBorders>
            <w:shd w:val="clear" w:color="auto" w:fill="CCEEFF"/>
          </w:tcPr>
          <w:p>
            <w:pPr>
              <w:spacing w:after="0"/>
              <w:rPr>
                <w:sz w:val="17"/>
                <w:szCs w:val="17"/>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7.7%</w:t>
            </w:r>
          </w:p>
        </w:tc>
      </w:tr>
      <w:tr>
        <w:trPr>
          <w:trHeight w:val="203"/>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41,737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41,833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79,793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81,443</w:t>
            </w:r>
          </w:p>
        </w:tc>
        <w:tc>
          <w:tcPr>
            <w:tcW w:w="220" w:type="dxa"/>
            <w:vAlign w:val="bottom"/>
          </w:tcPr>
          <w:p>
            <w:pPr>
              <w:spacing w:after="0"/>
              <w:rPr>
                <w:sz w:val="17"/>
                <w:szCs w:val="17"/>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21,184</w:t>
            </w:r>
          </w:p>
        </w:tc>
        <w:tc>
          <w:tcPr>
            <w:tcW w:w="2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19,754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41,561</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38,657</w:t>
            </w:r>
          </w:p>
        </w:tc>
        <w:tc>
          <w:tcPr>
            <w:tcW w:w="220" w:type="dxa"/>
            <w:vAlign w:val="bottom"/>
            <w:tcBorders>
              <w:left w:val="single" w:sz="8" w:color="CCEEFF"/>
            </w:tcBorders>
            <w:shd w:val="clear" w:color="auto" w:fill="CCEEFF"/>
          </w:tcPr>
          <w:p>
            <w:pPr>
              <w:spacing w:after="0"/>
              <w:rPr>
                <w:sz w:val="17"/>
                <w:szCs w:val="17"/>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w:t>
            </w:r>
          </w:p>
        </w:tc>
      </w:tr>
      <w:tr>
        <w:trPr>
          <w:trHeight w:val="189"/>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insurance proceeds received for damage to</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Plant closure expense</w:t>
            </w: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w:t>
            </w:r>
          </w:p>
        </w:tc>
        <w:tc>
          <w:tcPr>
            <w:tcW w:w="2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10,869</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general expense (income)</w:t>
            </w:r>
          </w:p>
        </w:tc>
        <w:tc>
          <w:tcPr>
            <w:tcW w:w="100" w:type="dxa"/>
            <w:vAlign w:val="bottom"/>
          </w:tcPr>
          <w:p>
            <w:pPr>
              <w:spacing w:after="0"/>
              <w:rPr>
                <w:sz w:val="17"/>
                <w:szCs w:val="17"/>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7"/>
                <w:szCs w:val="17"/>
                <w:color w:val="auto"/>
              </w:rPr>
            </w:pP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Pr>
          <w:p>
            <w:pPr>
              <w:spacing w:after="0"/>
              <w:rPr>
                <w:sz w:val="17"/>
                <w:szCs w:val="17"/>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(313.6)%</w:t>
            </w:r>
          </w:p>
        </w:tc>
      </w:tr>
      <w:tr>
        <w:trPr>
          <w:trHeight w:val="20"/>
        </w:trPr>
        <w:tc>
          <w:tcPr>
            <w:tcW w:w="390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97,489</w:t>
            </w:r>
          </w:p>
        </w:tc>
        <w:tc>
          <w:tcPr>
            <w:tcW w:w="2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89,680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192,864</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177,342</w:t>
            </w:r>
          </w:p>
        </w:tc>
        <w:tc>
          <w:tcPr>
            <w:tcW w:w="220" w:type="dxa"/>
            <w:vAlign w:val="bottom"/>
            <w:tcBorders>
              <w:left w:val="single" w:sz="8" w:color="CCEEFF"/>
            </w:tcBorders>
            <w:shd w:val="clear" w:color="auto" w:fill="CCEEFF"/>
          </w:tcPr>
          <w:p>
            <w:pPr>
              <w:spacing w:after="0"/>
              <w:rPr>
                <w:sz w:val="17"/>
                <w:szCs w:val="17"/>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r>
      <w:tr>
        <w:trPr>
          <w:trHeight w:val="196"/>
        </w:trPr>
        <w:tc>
          <w:tcPr>
            <w:tcW w:w="39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2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12,262</w:t>
            </w:r>
          </w:p>
        </w:tc>
        <w:tc>
          <w:tcPr>
            <w:tcW w:w="220" w:type="dxa"/>
            <w:vAlign w:val="bottom"/>
            <w:tcBorders>
              <w:left w:val="single" w:sz="8" w:color="CCEEFF"/>
            </w:tcBorders>
            <w:shd w:val="clear" w:color="auto" w:fill="CCEEFF"/>
          </w:tcPr>
          <w:p>
            <w:pPr>
              <w:spacing w:after="0"/>
              <w:rPr>
                <w:sz w:val="17"/>
                <w:szCs w:val="17"/>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income</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220" w:type="dxa"/>
            <w:vAlign w:val="bottom"/>
          </w:tcPr>
          <w:p>
            <w:pPr>
              <w:spacing w:after="0"/>
              <w:rPr>
                <w:sz w:val="17"/>
                <w:szCs w:val="17"/>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3"/>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Borders>
              <w:left w:val="single" w:sz="8" w:color="CCEEFF"/>
            </w:tcBorders>
            <w:shd w:val="clear" w:color="auto" w:fill="CCEEFF"/>
          </w:tcPr>
          <w:p>
            <w:pPr>
              <w:spacing w:after="0"/>
              <w:rPr>
                <w:sz w:val="17"/>
                <w:szCs w:val="17"/>
                <w:color w:val="auto"/>
              </w:rPr>
            </w:pPr>
          </w:p>
        </w:tc>
        <w:tc>
          <w:tcPr>
            <w:tcW w:w="11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255.3%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Borders>
              <w:left w:val="single" w:sz="8" w:color="CCEEFF"/>
            </w:tcBorders>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(297)</w:t>
            </w: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48.5%</w:t>
            </w:r>
          </w:p>
        </w:tc>
      </w:tr>
      <w:tr>
        <w:trPr>
          <w:trHeight w:val="196"/>
        </w:trPr>
        <w:tc>
          <w:tcPr>
            <w:tcW w:w="39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2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6,627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13,691</w:t>
            </w:r>
          </w:p>
        </w:tc>
        <w:tc>
          <w:tcPr>
            <w:tcW w:w="220" w:type="dxa"/>
            <w:vAlign w:val="bottom"/>
            <w:tcBorders>
              <w:left w:val="single" w:sz="8" w:color="CCEEFF"/>
            </w:tcBorders>
            <w:shd w:val="clear" w:color="auto" w:fill="CCEEFF"/>
          </w:tcPr>
          <w:p>
            <w:pPr>
              <w:spacing w:after="0"/>
              <w:rPr>
                <w:sz w:val="17"/>
                <w:szCs w:val="17"/>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2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220" w:type="dxa"/>
            <w:vAlign w:val="bottom"/>
            <w:tcBorders>
              <w:left w:val="single" w:sz="8" w:color="CCEEFF"/>
            </w:tcBorders>
            <w:shd w:val="clear" w:color="auto" w:fill="CCEEFF"/>
          </w:tcPr>
          <w:p>
            <w:pPr>
              <w:spacing w:after="0"/>
              <w:rPr>
                <w:sz w:val="17"/>
                <w:szCs w:val="17"/>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196"/>
        </w:trPr>
        <w:tc>
          <w:tcPr>
            <w:tcW w:w="39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23"/>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EARNINGS</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220" w:type="dxa"/>
            <w:vAlign w:val="bottom"/>
            <w:tcBorders>
              <w:left w:val="single" w:sz="8" w:color="CCEEFF"/>
            </w:tcBorders>
            <w:shd w:val="clear" w:color="auto" w:fill="CCEEFF"/>
          </w:tcPr>
          <w:p>
            <w:pPr>
              <w:spacing w:after="0"/>
              <w:rPr>
                <w:sz w:val="19"/>
                <w:szCs w:val="19"/>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220" w:type="dxa"/>
            <w:vAlign w:val="bottom"/>
            <w:tcBorders>
              <w:left w:val="single" w:sz="8" w:color="CCEEFF"/>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9,967</w:t>
            </w:r>
          </w:p>
        </w:tc>
        <w:tc>
          <w:tcPr>
            <w:tcW w:w="220" w:type="dxa"/>
            <w:vAlign w:val="bottom"/>
            <w:tcBorders>
              <w:left w:val="single" w:sz="8" w:color="CCEEFF"/>
            </w:tcBorders>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96"/>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Comparisons as a Percentage of Net Sales</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March 29,</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March 28,</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March 29,</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3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Basis Pt Chg</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Basis Pt Chg</w:t>
            </w:r>
          </w:p>
        </w:tc>
        <w:tc>
          <w:tcPr>
            <w:tcW w:w="100" w:type="dxa"/>
            <w:vAlign w:val="bottom"/>
          </w:tcPr>
          <w:p>
            <w:pPr>
              <w:spacing w:after="0"/>
              <w:rPr>
                <w:sz w:val="18"/>
                <w:szCs w:val="18"/>
                <w:color w:val="auto"/>
              </w:rPr>
            </w:pPr>
          </w:p>
        </w:tc>
      </w:tr>
      <w:tr>
        <w:trPr>
          <w:trHeight w:val="19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tcBorders>
              <w:left w:val="single" w:sz="8" w:color="CCEEFF"/>
            </w:tcBorders>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26.9%</w:t>
            </w:r>
          </w:p>
        </w:tc>
        <w:tc>
          <w:tcPr>
            <w:tcW w:w="12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Borders>
              <w:left w:val="single" w:sz="8" w:color="CCEEFF"/>
            </w:tcBorders>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26.4%</w:t>
            </w:r>
          </w:p>
        </w:tc>
        <w:tc>
          <w:tcPr>
            <w:tcW w:w="11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w:t>
            </w: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Marketing</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90</w:t>
            </w:r>
          </w:p>
        </w:tc>
      </w:tr>
      <w:tr>
        <w:trPr>
          <w:trHeight w:val="20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w:t>
            </w:r>
          </w:p>
        </w:tc>
        <w:tc>
          <w:tcPr>
            <w:tcW w:w="100" w:type="dxa"/>
            <w:vAlign w:val="bottom"/>
            <w:tcBorders>
              <w:left w:val="single" w:sz="8" w:color="CCEEFF"/>
            </w:tcBorders>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11.7%</w:t>
            </w:r>
          </w:p>
        </w:tc>
        <w:tc>
          <w:tcPr>
            <w:tcW w:w="12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left w:val="single" w:sz="8" w:color="CCEEFF"/>
            </w:tcBorders>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w:t>
            </w:r>
          </w:p>
        </w:tc>
        <w:tc>
          <w:tcPr>
            <w:tcW w:w="11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Administrative</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5.5%</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w:t>
            </w: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60</w:t>
            </w:r>
          </w:p>
        </w:tc>
      </w:tr>
      <w:tr>
        <w:trPr>
          <w:trHeight w:val="20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left w:val="single" w:sz="8" w:color="CCEEFF"/>
            </w:tcBorders>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12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left w:val="single" w:sz="8" w:color="CCEEFF"/>
            </w:tcBorders>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(130)</w:t>
            </w:r>
          </w:p>
        </w:tc>
      </w:tr>
      <w:tr>
        <w:trPr>
          <w:trHeight w:val="202"/>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(140)</w:t>
            </w:r>
          </w:p>
        </w:tc>
      </w:tr>
      <w:tr>
        <w:trPr>
          <w:trHeight w:val="20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100" w:type="dxa"/>
            <w:vAlign w:val="bottom"/>
            <w:tcBorders>
              <w:left w:val="single" w:sz="8" w:color="CCEEFF"/>
            </w:tcBorders>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12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left w:val="single" w:sz="8" w:color="CCEEFF"/>
            </w:tcBorders>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69"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Net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decreased by $11.3 million, or 3.2%, to $344.8 million for the three months ended March 28, 2026. Net sales decreased by $30.1 million, or</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4.2%, to $688.6 million for the six months ended March 28, 2026. The sales decrease was primarily driven by declines in our Food Service segment, most notably within our bakery portfolio, and the majority of which related to the anticipated sales reductions in our bakery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Gross Profit increased by $3.6 million, or 3.8%, to $99.3 million for the three months ended March 28, 2026. As a percentage of sales, gross profit increased from 26.9% to 28.8%. The increase in gross profit as a percentage of sales was largely driven by the benefits of our previously announced plant closures as well as the favorable impact from mix improvements. These favorable tailwinds significantly offset the unfavorable impact of lower sales volumes in our Food Service segment, as well as the higher slotting fees and promotional spend within our Retail segment.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Gross Profit increased by $5.7 million, or 3.0%, to $195.3 million for the six months ended March 28, 2026. As a percentage of sales, gross profit increased from 26.4% to 28.4%. The increase in gross profit as a percentage of sales was largely driven by the benefits of our previously announced plant closures as well as the favorable impact from mix improvements. These favorable tailwinds significantly offset the unfavorable impact of lower sales volumes in our Food Service segment, as well as the higher slotting fees and promotional spend within our Retail segment.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Operating Expenses increased $7.8 million, or 8.7%, to $97.5 million for the three months ended March 28, 2026. As a percentage of sales, operating expenses increased from 25.2% to 28.3%. Operating expenses included $4.8 million of plant closure expenses, which increased operating expenses as a percentage of sales by approximately 140 bps.</w:t>
      </w:r>
    </w:p>
    <w:p>
      <w:pPr>
        <w:spacing w:after="0" w:line="176"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remaining increase in operating expenses was most notably driven by increases in selling and marketing expenses, and general and administrative expenses. As a percentage of sales, selling and marketing expenses increased from 8.0% to 8.7% and from $28.5 million to $30.1 million in the three months ended March 28, 2026, with the increase primarily attributable to increased commission costs on retail vending sales, increased spend on sponsorships, brand support and other promotional activities, and higher depreciation for customer equipment for growth.</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a percentage of sales, general and administrative expenses increased from 5.5% to 6.1% and from $19.8 million to $21.2 million in the three months ended March 28, 2026. The increase was most significantly driven by non-recurring restructuring and legal expenses.</w:t>
      </w:r>
    </w:p>
    <w:p>
      <w:pPr>
        <w:spacing w:after="0" w:line="162"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As a percentage of sales, distribution expenses increased from 11.7% to 12.1%, but declined slightly from $41.8 million to $41.7 million in the three months ended March 28, 2026. An increase in expenses related to higher fuel costs was offset by the benefit of lower sales volumes in the quarter.</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Operating Expenses increased $15.5 million, or 8.8%, to $192.9 million for the six months ended March 28, 2026. As a percentage of sales, operating expenses increased from 24.7% to 28.0%. Operating expenses included $10.9 million of plant closure expenses and a partly offsetting $0.8 million gain on insurance proceeds received for damage to property, plant, and equipment in the six months ended March 28, 2026. The net impact of these items increased operating expenses as a percentage of sales by approximately 150 bps.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remaining increase in operating expenses was most notably driven by increases in selling and marketing expenses, and general and administrative expenses. As a percentage of sales, selling and marketing expenses increased from 8.0% to 8.9% and from $57.2 million to $61.6 million in the six months ended March 28, 2026, with the increase primarily attributable to increased commission costs on retail vending sales, increased spend on sponsorships, brand support and other promotional activities, and higher depreciation for customer equipment for growth.</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a percentage of sales, general and administrative expenses increased from 5.4% to 6.0% and from $38.7 million to $41.6 million in the six months ended March 28, 2026. The increase was most significantly driven by non-recurring restructuring and legal expenses.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percentage of sales, distribution expenses increased from 11.3% to 11.6%, but declined slightly from $81.4 million to $79.8 million in the six months ended March 28, 2026, with the decrease mostly attributable to the lower sales volumes during the period.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Other Income and Expense</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Investment income increased slightly from $0.7 million to $0.8 million for the three months ended March 28, 2026, but decreased slightly from $1.7 million to $1.5 million for the six months ended March 28, 2026.</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Interest expense increased by $0.2 million to $0.3 million and by $0.1 million to $0.4 million for the three months and six months ended March 28, 2026, respectively, due to the increase in the Company’s average outstanding borrowings on the Amended Credit Agreement for the three and six- month periods ended March 28, 2026, as compared to the prior year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effective tax rate remained materially consistent, increasing slightly from 27.2% to 28.1% and from 27.2% to 27.7% for the three and six months ended March 28, 2026,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Earnings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earnings decreased by $3.1 million, or 65.2%, for the three months ended March 28, 2026, due to the aforementioned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earnings decreased by $7.4 million, or 74.3%, for the six months ended March 28, 2026, due to the aforementioned items.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are many factors which can impact our net earnings from year to year and in the long run, among which are the supply and cost of raw materials and labor, insurance costs, factors impacting sales as noted above, the continuing consolidation of our customers, our ability to manage our manufacturing, marketing and distribution activities, our ability to make and integrate acquisitions and changes in tax laws and interest rates.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Discussion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operate in three segments: Food Service, Retail Supermarket, and Frozen Beverages. The following table is a summary of sales and operating income, which is how we measure segment profit.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Pr>
          <w:p>
            <w:pPr>
              <w:spacing w:after="0"/>
              <w:rPr>
                <w:sz w:val="17"/>
                <w:szCs w:val="17"/>
                <w:color w:val="auto"/>
              </w:rPr>
            </w:pPr>
          </w:p>
        </w:tc>
        <w:tc>
          <w:tcPr>
            <w:tcW w:w="1200" w:type="dxa"/>
            <w:vAlign w:val="bottom"/>
            <w:gridSpan w:val="3"/>
          </w:tcPr>
          <w:p>
            <w:pPr>
              <w:jc w:val="center"/>
              <w:ind w:right="4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Food Service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214,665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226,053</w:t>
            </w:r>
          </w:p>
        </w:tc>
        <w:tc>
          <w:tcPr>
            <w:tcW w:w="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433,821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464,936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 Supermarket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53,848</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97,502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98,565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Frozen Beverages</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78,534</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76,198</w:t>
            </w:r>
          </w:p>
        </w:tc>
        <w:tc>
          <w:tcPr>
            <w:tcW w:w="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157,274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155,196</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sales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688,597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Pr>
          <w:p>
            <w:pPr>
              <w:spacing w:after="0"/>
              <w:rPr>
                <w:sz w:val="17"/>
                <w:szCs w:val="17"/>
                <w:color w:val="auto"/>
              </w:rPr>
            </w:pPr>
          </w:p>
        </w:tc>
        <w:tc>
          <w:tcPr>
            <w:tcW w:w="1200" w:type="dxa"/>
            <w:vAlign w:val="bottom"/>
            <w:gridSpan w:val="3"/>
          </w:tcPr>
          <w:p>
            <w:pPr>
              <w:jc w:val="center"/>
              <w:ind w:right="4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2"/>
        </w:trPr>
        <w:tc>
          <w:tcPr>
            <w:tcW w:w="2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Food Service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10,855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7,465</w:t>
            </w: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20,954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16,279</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 Supermarket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3,512</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Frozen Beverages</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2,522</w:t>
            </w: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7,213</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(7,476)</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(17,905)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(15,933)</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8"/>
        </w:trPr>
        <w:tc>
          <w:tcPr>
            <w:tcW w:w="38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on insurance proceeds received for damage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 property, plant, and equipment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closure expense</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(10,869)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3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12,262</w:t>
            </w: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Food Service Segment Results</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8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22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Pr>
          <w:p>
            <w:pPr>
              <w:spacing w:after="0"/>
              <w:rPr>
                <w:sz w:val="17"/>
                <w:szCs w:val="17"/>
                <w:color w:val="auto"/>
              </w:rPr>
            </w:pPr>
          </w:p>
        </w:tc>
        <w:tc>
          <w:tcPr>
            <w:tcW w:w="1200" w:type="dxa"/>
            <w:vAlign w:val="bottom"/>
            <w:gridSpan w:val="3"/>
          </w:tcPr>
          <w:p>
            <w:pPr>
              <w:jc w:val="center"/>
              <w:ind w:right="4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2"/>
        </w:trPr>
        <w:tc>
          <w:tcPr>
            <w:tcW w:w="2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280" w:type="dxa"/>
            <w:vAlign w:val="bottom"/>
            <w:gridSpan w:val="2"/>
          </w:tcPr>
          <w:p>
            <w:pPr>
              <w:spacing w:after="0"/>
              <w:rPr>
                <w:sz w:val="16"/>
                <w:szCs w:val="16"/>
                <w:color w:val="auto"/>
              </w:rPr>
            </w:pPr>
          </w:p>
        </w:tc>
        <w:tc>
          <w:tcPr>
            <w:tcW w:w="1120" w:type="dxa"/>
            <w:vAlign w:val="bottom"/>
            <w:gridSpan w:val="2"/>
          </w:tcPr>
          <w:p>
            <w:pPr>
              <w:spacing w:after="0"/>
              <w:rPr>
                <w:sz w:val="16"/>
                <w:szCs w:val="16"/>
                <w:color w:val="auto"/>
              </w:rPr>
            </w:pPr>
          </w:p>
        </w:tc>
        <w:tc>
          <w:tcPr>
            <w:tcW w:w="1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Service sales to external customers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214,665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226,053</w:t>
            </w: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433,821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464,936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Service 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7,465</w:t>
            </w: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16,279</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50" w:gutter="0" w:footer="0" w:header="0"/>
        </w:sectPr>
      </w:pPr>
    </w:p>
    <w:bookmarkStart w:id="28" w:name="page29"/>
    <w:bookmarkEnd w:id="28"/>
    <w:p>
      <w:pPr>
        <w:ind w:right="120"/>
        <w:spacing w:after="0" w:line="255" w:lineRule="auto"/>
        <w:rPr>
          <w:sz w:val="20"/>
          <w:szCs w:val="20"/>
          <w:color w:val="auto"/>
        </w:rPr>
      </w:pPr>
      <w:r>
        <w:rPr>
          <w:rFonts w:ascii="Times New Roman" w:cs="Times New Roman" w:eastAsia="Times New Roman" w:hAnsi="Times New Roman"/>
          <w:sz w:val="18"/>
          <w:szCs w:val="18"/>
          <w:color w:val="auto"/>
        </w:rPr>
        <w:t>Sales to food service customers decreased $11.4 million, or 5.0%, to $214.7 million for the three months ended March 28, 2026. The largest driver of the decrease was the sales of bakery products, which decreased by 16.1%, with the decrease largely attributable to the anticipated sales reductions in our bakery business, as well as a decline in cookie sales to a large customer that was working through elevated inventory levels. Additionally, sales of handhelds decreased by 15.3%, with the decrease attributable to lower comparative volumes on our core handhelds, as well as contractual pricing true-ups on the lower costing of certain raw material ingredients. Somewhat offsetting these decreases were strong pretzel sales to foodservice customers, which increased 13.4%, with the increase largely attributable to volume increases seen within the category on our key brands, a continuation of the trend seen in the second half of our fiscal 2025, and the first quarter of our fiscal 2026.</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Sales of new products in the first twelve months since their introduction were minimal for the three months ended March 28, 2026. Low-single digit net pricing increases were more than offset by the net volume declines, primarily attributable to the anticipated sales reductions in our bakery business.</w:t>
      </w:r>
    </w:p>
    <w:p>
      <w:pPr>
        <w:spacing w:after="0" w:line="37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Operating income in our Food Service segment increased $3.4 million, or 45.4%, to $10.9 million for the three months ended March 28, 2026, which reflected the efficiencies and benefits of the optimization of our manufacturing footprint as well as mix improvements across the portfolio.</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Sales to food service customers decreased $31.1 million, or 6.7%, to $433.8 million for the six months ended March 28, 2026. The largest driver of the decrease were the sales of bakery products, which decreased by 16.4%, with the decrease largely attributable to the anticipated sales reductions in our bakery business. Additionally, sales of handhelds decreased by 18.9%, with the decrease attributable to lower comparative volumes on our core handhelds, as well as contractual pricing true-ups on the lower costing of certain raw material ingredients. Somewhat offsetting these decreases were soft pretzel sales to foodservice customers, which increased by 10.1%, with the increase largely attributable to volume increases seen within the category on our key brands, a continuation of the trend seen in the second half of our fiscal 2025.</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Sales of new products in the first twelve months since their introduction were minimal for the six months ended March 28, 2026. Low-single digit net pricing increases were more than offset by the net volume declines, primarily attributable to the anticipated sales reductions in our bakery business.</w:t>
      </w:r>
    </w:p>
    <w:p>
      <w:pPr>
        <w:spacing w:after="0" w:line="3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income in our Food Service segment increased $4.7 million, or 28.7% to $21.0 million for the six months ended March 28, 2026, which reflected the efficiencies and benefits of the optimization of our manufacturing footprint seen within gross profit, as well as mix improvements across the portfolio.</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Supermarket Segment Results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6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28,</w:t>
            </w:r>
          </w:p>
        </w:tc>
        <w:tc>
          <w:tcPr>
            <w:tcW w:w="120" w:type="dxa"/>
            <w:vAlign w:val="bottom"/>
          </w:tcPr>
          <w:p>
            <w:pPr>
              <w:spacing w:after="0"/>
              <w:rPr>
                <w:sz w:val="16"/>
                <w:szCs w:val="16"/>
                <w:color w:val="auto"/>
              </w:rPr>
            </w:pPr>
          </w:p>
        </w:tc>
        <w:tc>
          <w:tcPr>
            <w:tcW w:w="1280" w:type="dxa"/>
            <w:vAlign w:val="bottom"/>
            <w:gridSpan w:val="3"/>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(in</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w:t>
            </w: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Retail Supermarket sales to external</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51,620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53,848</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97,502</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98,565</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customers</w:t>
            </w:r>
          </w:p>
        </w:tc>
        <w:tc>
          <w:tcPr>
            <w:tcW w:w="120" w:type="dxa"/>
            <w:vAlign w:val="bottom"/>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vMerge w:val="continue"/>
            <w:shd w:val="clear" w:color="auto" w:fill="CCEEFF"/>
          </w:tcPr>
          <w:p>
            <w:pPr>
              <w:spacing w:after="0"/>
              <w:rPr>
                <w:sz w:val="20"/>
                <w:szCs w:val="20"/>
                <w:color w:val="auto"/>
              </w:rPr>
            </w:pPr>
          </w:p>
        </w:tc>
        <w:tc>
          <w:tcPr>
            <w:tcW w:w="1020" w:type="dxa"/>
            <w:vAlign w:val="bottom"/>
            <w:tcBorders>
              <w:right w:val="single" w:sz="8" w:color="CCEEFF"/>
            </w:tcBorders>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7"/>
        </w:trPr>
        <w:tc>
          <w:tcPr>
            <w:tcW w:w="26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Supermarket 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3,512</w:t>
            </w: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Sales of products to retail customers decreased $2.2 million, or 4.1%, to $51.6 million for the three months ended March 28, 2026. The net decrease was primarily attributable to the comparative increased slotting fees and promotional spend, primarily within the frozen novelties category, combined with some slight volume decreases in the frozen novelties categories, offset somewhat by handheld volume increases. Sales of new products in retail supermarkets were minimal in the three months ended March 28, 2026. Sales in the quarter were minimally negatively impacted by net pricing, with a portion of the decrease also attributable to slight net volume decreases across the retail portfolio.</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Operating income in our Retail Supermarkets segment decreased $3.9 million in the three months ended March 28, 2026, primarily driven by the impact of the higher comparative slotting fees and promotional spend within the frozen novelties category, along with the impact of product mix on gross profit.</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Sales of products to retail customers decreased $1.1 million, or 1.1%, to $97.5 million for the six months ended March 28, 2026, with the net decrease primarily attributable to the increased slotting fees and promotional spend in our second fiscal quarter, offset by continued strong handheld sales volumes throughout the period. Sales of new products in retail supermarkets were approximately $0.5 million in the six months ended March 28, 2026. Sales in the six-month period benefited minimally from the impact of the prior fiscal year’s price increases, with the increase offset by slight net volume decreases across the retail portfolio.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ind w:right="20"/>
        <w:spacing w:after="0" w:line="282" w:lineRule="auto"/>
        <w:rPr>
          <w:sz w:val="20"/>
          <w:szCs w:val="20"/>
          <w:color w:val="auto"/>
        </w:rPr>
      </w:pPr>
      <w:r>
        <w:rPr>
          <w:rFonts w:ascii="Times New Roman" w:cs="Times New Roman" w:eastAsia="Times New Roman" w:hAnsi="Times New Roman"/>
          <w:sz w:val="18"/>
          <w:szCs w:val="18"/>
          <w:color w:val="auto"/>
        </w:rPr>
        <w:t>Operating income in our Retail Supermarkets segment decreased $3.9 million, or 83.5%, to $0.8 million in the six months ended March 28, 2026, primarily driven by the impacts noted in the section above related to the three months ended March 28, 2026.</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Frozen Beverages Segment Results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66"/>
        </w:trPr>
        <w:tc>
          <w:tcPr>
            <w:tcW w:w="256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1"/>
        </w:trPr>
        <w:tc>
          <w:tcPr>
            <w:tcW w:w="2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28,</w:t>
            </w:r>
          </w:p>
        </w:tc>
        <w:tc>
          <w:tcPr>
            <w:tcW w:w="100" w:type="dxa"/>
            <w:vAlign w:val="bottom"/>
          </w:tcPr>
          <w:p>
            <w:pPr>
              <w:spacing w:after="0"/>
              <w:rPr>
                <w:sz w:val="17"/>
                <w:szCs w:val="17"/>
                <w:color w:val="auto"/>
              </w:rPr>
            </w:pPr>
          </w:p>
        </w:tc>
        <w:tc>
          <w:tcPr>
            <w:tcW w:w="1200" w:type="dxa"/>
            <w:vAlign w:val="bottom"/>
            <w:gridSpan w:val="3"/>
          </w:tcPr>
          <w:p>
            <w:pPr>
              <w:jc w:val="center"/>
              <w:ind w:right="4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3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8"/>
        </w:trPr>
        <w:tc>
          <w:tcPr>
            <w:tcW w:w="2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1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2"/>
        </w:trPr>
        <w:tc>
          <w:tcPr>
            <w:tcW w:w="2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gridSpan w:val="2"/>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4"/>
        </w:trPr>
        <w:tc>
          <w:tcPr>
            <w:tcW w:w="2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Frozen Beverages sales to external customers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Beverages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46,717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41,503</w:t>
            </w: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91,606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86,157</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Repair and maintenance service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21,012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24,215</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47,854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Machines revenue</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9,616</w:t>
            </w: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19,663</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1,522</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3"/>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Frozen Beverages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78,534</w:t>
            </w: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76,198</w:t>
            </w:r>
          </w:p>
        </w:tc>
        <w:tc>
          <w:tcPr>
            <w:tcW w:w="2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157,274</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155,196</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197"/>
        </w:trPr>
        <w:tc>
          <w:tcPr>
            <w:tcW w:w="2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Frozen Beverages operating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2,522</w:t>
            </w:r>
          </w:p>
        </w:tc>
        <w:tc>
          <w:tcPr>
            <w:tcW w:w="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7,213</w:t>
            </w:r>
          </w:p>
        </w:tc>
        <w:tc>
          <w:tcPr>
            <w:tcW w:w="20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2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Frozen beverage and related product sales increased $2.3 million, or 3.1%, in the three months ended March 28, 2026. Beverage sales increased 12.6% to $46.7 million, with the increase driven by a strong performance in our theater channel, combined with pricing increases, a favorable sales mix and some foreign exchange related tailwinds. Gallon sales increased approximately 2% for the three months ended March 28, 2026. Service revenue decreased 13.2% to $21.0 million due to weakness in demand related to customer decisions to insource their maintenance, as well as slower restaurant traffic. Machine revenue (primarily sales of frozen beverage machines) increased 3.6% to $10.0 million driven by strong growth from a convenience customer.</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Operating income in our Frozen Beverage segment increased $2.1 million in the quarter to $4.6 million, as strong beverage sales positively impacted leverage across the business.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Frozen beverage and related product sales increased $2.1 million, or 1.3% in the six months ended March 28, 2026. Beverage sales increased 6.3% to $91.6 million with the increase driven by strong performance in our theater channel, combined with pricing increases, a favorable sales mix and some foreign exchange related tailwinds. Gallon sales decreased approximately 2% for the six months ended March 28, 2026. Service revenue decreased 9.1% to $43.5 million due to weakness in demand related to customer decisions to insource their maintenance, as well as slower restaurant traffic. Machine revenue (primarily sales of frozen beverage machines) increased 5.2% to $20.7 million, primarily driven by strong growth from a convenience customer.</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Operating income in our Frozen Beverage segment increased $1.5 million in the six months ended March 28, 2026 to $8.7 million, primarily due to the factors noted above in the fiscal second quarter, as strong beverage sales positively impacted leverage across the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Although there are many factors that could impact our operating cash flow, most notably net earnings, we believe that our future operating cash flow, along with our borrowing capacity, our current cash and cash equivalent balances and our investment securities is sufficient to satisfy our cash requirements over the next twelve months and beyond, as well as to fund future growth and expansion.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7"/>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1"/>
        </w:trPr>
        <w:tc>
          <w:tcPr>
            <w:tcW w:w="80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ind w:right="560"/>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gridSpan w:val="2"/>
          </w:tcPr>
          <w:p>
            <w:pPr>
              <w:spacing w:after="0"/>
              <w:rPr>
                <w:sz w:val="17"/>
                <w:szCs w:val="17"/>
                <w:color w:val="auto"/>
              </w:rPr>
            </w:pP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5"/>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2,560</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9,967</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items in net income: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31,585</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intangibles and deferred costs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(Gains) from disposals of property &amp; equipment</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plant shutdown expenses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5,046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impairment charge</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2,753</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insurance proceeds received for damage to property, plant, and equipment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 net of effects from purchase of companies</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(946)</w:t>
            </w:r>
          </w:p>
        </w:tc>
      </w:tr>
      <w:tr>
        <w:trPr>
          <w:trHeight w:val="22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2120" w:hanging="5370"/>
        <w:spacing w:after="0" w:line="563"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depreciation of fixed assets was primarily due to prior year purchases of property, plant, and equipment.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561" w:gutter="0" w:footer="0" w:header="0"/>
        </w:sectPr>
      </w:pPr>
    </w:p>
    <w:bookmarkStart w:id="30" w:name="page31"/>
    <w:bookmarkEnd w:id="30"/>
    <w:p>
      <w:pPr>
        <w:ind w:left="500" w:right="140" w:hanging="330"/>
        <w:spacing w:after="0" w:line="258"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cash inflow of $3.3 million in cash flows associated with changes in assets and liabilities, net of effects from purchase of companies, in the six months ended March 28, 2026, was primarily driven by decreases in accounts receivable of $6.4 million and inventory of $2.1 million, offset somewhat by a net $5.1 million cash outflow attributable to other operating assets and liabilities. In the prior year, the net cash outflow of $0.9 million was driven by a $13.2 million increase in inventory, and a net $3.5 million cash outflow attributable to other operating assets and liabilities, mostly offset by a $15.8 million decrease in accounts receivable.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1"/>
        </w:trPr>
        <w:tc>
          <w:tcPr>
            <w:tcW w:w="80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right"/>
              <w:ind w:right="401"/>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Pr>
          <w:p>
            <w:pPr>
              <w:spacing w:after="0"/>
              <w:rPr>
                <w:sz w:val="17"/>
                <w:szCs w:val="17"/>
                <w:color w:val="auto"/>
              </w:rPr>
            </w:pP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5"/>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(35,184)</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(38,530)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622</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insurance for fixed assets</w:t>
            </w:r>
          </w:p>
        </w:tc>
        <w:tc>
          <w:tcPr>
            <w:tcW w:w="22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740" w:hanging="330"/>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property, plant and equipment include spending for production growth, in addition to acquiring new equipment, infrastructure replacements, and upgrades to maintain competitive standing and position us for future opportunities.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1"/>
        </w:trPr>
        <w:tc>
          <w:tcPr>
            <w:tcW w:w="80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right"/>
              <w:ind w:right="401"/>
              <w:spacing w:after="0" w:line="201"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Pr>
          <w:p>
            <w:pPr>
              <w:spacing w:after="0"/>
              <w:rPr>
                <w:sz w:val="17"/>
                <w:szCs w:val="17"/>
                <w:color w:val="auto"/>
              </w:rPr>
            </w:pP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5"/>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to repurchase common stock</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(63,981)</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stock</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2,886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vested employee service share units and performance share units</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borrowings under credit facility</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cash dividend</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(30,371)</w:t>
            </w:r>
          </w:p>
        </w:tc>
      </w:tr>
      <w:tr>
        <w:trPr>
          <w:trHeight w:val="223"/>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March 28, 2026, the Company repurchased 718,356 shares of common stock of the Company at an average price of $89.89 per share on the open market, pursuant to the share repurchase program.</w:t>
      </w:r>
    </w:p>
    <w:p>
      <w:pPr>
        <w:spacing w:after="0" w:line="16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issuance of stock decreased in the six months ended March 28, 2026 as no stock options were exercised in the period as the Company began to issue service share units and performance units as forms of stock-based compensation in recent years.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credit facility and repayment of borrowings under credit facility relate to the Company’s cash draws and repayments made to primarily fund working capital needs.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payment of cash dividends from prior year period was due to the raising of our quarterly dividend during fiscal 2025, somewhat offset by a decrease in outstanding share count due to the share repurchases.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28, 2026, we had $59.7 million of Cash and Cash Equivalents.</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December 2021, the Company entered into an amended and restated loan agreement (the “Credit Agreement”) with our existing banks which provided for up to a $50 million revolving credit facility repayable in December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ind w:right="40"/>
        <w:spacing w:after="0" w:line="261" w:lineRule="auto"/>
        <w:rPr>
          <w:sz w:val="20"/>
          <w:szCs w:val="20"/>
          <w:color w:val="auto"/>
        </w:rPr>
      </w:pPr>
      <w:r>
        <w:rPr>
          <w:rFonts w:ascii="Times New Roman" w:cs="Times New Roman" w:eastAsia="Times New Roman" w:hAnsi="Times New Roman"/>
          <w:sz w:val="18"/>
          <w:szCs w:val="18"/>
          <w:color w:val="auto"/>
        </w:rPr>
        <w:t>On June 21, 2022, the Company entered into an amendment to the Credit Agreement, the “Amended Credit Agreement” which provided for an incremental increase of $175 million in available borrowings. The Amended Credit Agreement also includes an option to increase the size of the revolving credit facility by up to an amount not to exceed in the aggregate the greater of $225 million or, $50 million plus the Consolidated EBITDA of the Borrowers, subject to the satisfaction of certain terms and conditions.</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Interest accrues, at the Company’s election at (i) the SOFR Rate (as defined in the Credit Agreement), plus an applicable margin, based upon the Consolidated Net Leverage Ratio, as defined in the Credit Agreement, or (ii) the Alternate Base Rate (a rate based on the higher of (a) the prime rate announced from time-to-time by the Administrative Agent, (b) the Federal Reserve System’s federal funds rate, plus 0.50% or (c) the Daily SOFR Rate, plus an applicable margin). The Alternate Base Rate is defined in the Credit Agreement.</w:t>
      </w:r>
    </w:p>
    <w:p>
      <w:pPr>
        <w:spacing w:after="0" w:line="18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Credit Agreement requires the Company to comply with various affirmative and negative covenants, including without limitation (i) covenants to maintain a minimum specified interest coverage ratio and maximum specified net leverage ratio, and (ii) subject to certain exceptions, covenants that prevent or restrict the Company’s ability to pay dividends, engage in certain mergers or acquisitions, make certain investments or loans, incur future indebtedness, alter its capital structure or line of business, prepay subordinated indebtedness, engage in certain transactions with affiliates, or amend its organizational documents. As of March 28, 2026, the Company is in compliance with all financial covenants of the Credit Agreement.</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March 28, 2026, $29.0 million was outstanding under the Amended Credit Agreement with a weighted average interest rate of 6.75%. Given that the Amended Credit Agreement is set to expire in December 2026, these borrowings have been classified as Current Portion of Long-Term Debt on the Company’s Balance Sheet. As of March 28, 2026, the amount available under the Amended Credit Agreement was $181.2 million, after giving effect to the outstanding letters of credit.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Judgments and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judgments and estimates from the information provided in Part II, Item 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 Critical Accounting Policies, Judgments and Estimates,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year ended September 27, 2025, as filed with the SEC on November 26, 2025.</w:t>
      </w:r>
    </w:p>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the Company’s assessment of its sensitivity to market risk since its presentation set forth, in item 7a. “Quantitative and Qualitative Disclosures About Market Risk,” in our Annual Report on Form 10-K for the year ended September 27, 2025, as filed with the SEC on November 26, 2025.</w:t>
      </w:r>
    </w:p>
    <w:p>
      <w:pPr>
        <w:spacing w:after="0" w:line="17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Chief Executive Officer and the Chief Financial Officer of the Company (its principal executive officer and principal financial officer, respectively) have concluded, based on their evaluation as of March 28, 2026, that the Company’s disclosure controls and procedures (as defined in Rule 13a-15(f) under the Exchange Act) are effective to ensure that information required to be disclosed by the Company in the reports filed or submitted by it under the Securities Exchange Act of 1934, as amended,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as appropriate to allow timely decisions regarding required disclosure.</w:t>
      </w:r>
    </w:p>
    <w:p>
      <w:pPr>
        <w:spacing w:after="0" w:line="18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There has been no change in the Company’s internal control over financial reporting (as such term is defined in Rule 13a-15(f) of the Exchange Act) during the quarter ended March 28, 2026, that has materially affected, or is reasonably likely to materially affect, our internal control over financial reporting.</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is subject, from time to time, to certain legal proceedings and claims that arise from our business. As of the date of this Quarterly Report on Form 10-Q, the Company does not expect that any such proceedings will have a material adverse effect on the Company’s financial position or results of operations.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information on risk factors, please refer to “Risk Factors” in Part I, Item 1A of the Company’s Form 10-K for the fiscal year ended September 27, 2025. The risks identified in that report have not changed in any material respect.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the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sets forth repurchases of our common stock during the second quarter of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18"/>
                <w:szCs w:val="18"/>
                <w:color w:val="auto"/>
              </w:rPr>
            </w:pPr>
          </w:p>
        </w:tc>
        <w:tc>
          <w:tcPr>
            <w:tcW w:w="2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Approximate dollar value</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Total number</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shares that may yet</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publicly announced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be purchased under</w:t>
            </w:r>
          </w:p>
        </w:tc>
      </w:t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purchased (1)</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plans or programs (2)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plans or programs (2)</w:t>
            </w:r>
          </w:p>
        </w:tc>
      </w:tr>
      <w:tr>
        <w:trPr>
          <w:trHeight w:val="209"/>
        </w:trPr>
        <w:tc>
          <w:tcPr>
            <w:tcW w:w="3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28, 2025 to January 24, 2026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90.52</w:t>
            </w:r>
          </w:p>
        </w:tc>
        <w:tc>
          <w:tcPr>
            <w:tcW w:w="2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January 25, 2026 to February 21, 2026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125,625</w:t>
            </w:r>
          </w:p>
        </w:tc>
        <w:tc>
          <w:tcPr>
            <w:tcW w:w="24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83.40</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39,523</w:t>
            </w:r>
          </w:p>
        </w:tc>
      </w:tr>
      <w:tr>
        <w:trPr>
          <w:trHeight w:val="216"/>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22, 2026 to March 28, 2026</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134,264</w:t>
            </w:r>
          </w:p>
        </w:tc>
        <w:tc>
          <w:tcPr>
            <w:tcW w:w="2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85.65</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28,023</w:t>
            </w: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March 28, 2026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260,067</w:t>
            </w:r>
          </w:p>
        </w:tc>
        <w:tc>
          <w:tcPr>
            <w:tcW w:w="24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84.57</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259,889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28,023</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280" w:hanging="334"/>
        <w:spacing w:after="0" w:line="312" w:lineRule="auto"/>
        <w:tabs>
          <w:tab w:leader="none" w:pos="7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were 259,889 shares repurchased as part of our publicly announced share repurchase program during the quarter ended March 28, 2026, and there were 178 shares withheld to cover taxes associated with the vesting of certain restricted stock units held by officers and employees.</w:t>
      </w:r>
    </w:p>
    <w:p>
      <w:pPr>
        <w:spacing w:after="0" w:line="139" w:lineRule="exact"/>
        <w:rPr>
          <w:rFonts w:ascii="Times New Roman" w:cs="Times New Roman" w:eastAsia="Times New Roman" w:hAnsi="Times New Roman"/>
          <w:sz w:val="17"/>
          <w:szCs w:val="17"/>
          <w:color w:val="auto"/>
        </w:rPr>
      </w:pPr>
    </w:p>
    <w:p>
      <w:pPr>
        <w:ind w:left="680" w:right="120" w:hanging="321"/>
        <w:spacing w:after="0" w:line="26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3, 2026, the Company announced that the Board of Directors authorized a share repurchase program (the 2026 Share Repurchase Program) pursuant to which the Company could repurchase up to $50.0 million of the Company’s common stock, exclusive of any fees, commissions, and other expenses related to such repurchases. As of March 28, 2026, there remains $28.0 million of share repurchase availability under the 2026 Share Repurchase Program.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28, 2026,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2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020" w:type="dxa"/>
            <w:vAlign w:val="bottom"/>
          </w:tcPr>
          <w:p>
            <w:pPr>
              <w:spacing w:after="0"/>
              <w:rPr>
                <w:sz w:val="20"/>
                <w:szCs w:val="20"/>
                <w:color w:val="auto"/>
              </w:rPr>
            </w:pP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20" w:type="dxa"/>
            <w:vAlign w:val="bottom"/>
          </w:tcPr>
          <w:p>
            <w:pPr>
              <w:spacing w:after="0"/>
              <w:rPr>
                <w:sz w:val="24"/>
                <w:szCs w:val="24"/>
                <w:color w:val="auto"/>
              </w:rPr>
            </w:pPr>
          </w:p>
        </w:tc>
      </w:tr>
      <w:tr>
        <w:trPr>
          <w:trHeight w:val="391"/>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&amp;</w:t>
            </w:r>
            <w:r>
              <w:rPr>
                <w:rFonts w:ascii="Times New Roman" w:cs="Times New Roman" w:eastAsia="Times New Roman" w:hAnsi="Times New Roman"/>
                <w:sz w:val="18"/>
                <w:szCs w:val="18"/>
                <w:color w:val="0000EE"/>
              </w:rPr>
              <w:t xml:space="preserve"> 31.2</w:t>
            </w:r>
          </w:p>
        </w:tc>
        <w:tc>
          <w:tcPr>
            <w:tcW w:w="9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 2002</w:t>
            </w: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23"/>
        </w:trPr>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&amp;</w:t>
            </w:r>
            <w:r>
              <w:rPr>
                <w:rFonts w:ascii="Times New Roman" w:cs="Times New Roman" w:eastAsia="Times New Roman" w:hAnsi="Times New Roman"/>
                <w:sz w:val="18"/>
                <w:szCs w:val="18"/>
                <w:color w:val="0000EE"/>
              </w:rPr>
              <w:t xml:space="preserve"> 32.2</w:t>
            </w:r>
          </w:p>
        </w:tc>
        <w:tc>
          <w:tcPr>
            <w:tcW w:w="9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Pursuant to the 18 U.S.C. Section 1350, as Adopted Pursuant to Section 906 of the Sarbanes-Oxley Act of</w:t>
            </w:r>
          </w:p>
        </w:tc>
      </w:tr>
      <w:tr>
        <w:trPr>
          <w:trHeight w:val="218"/>
        </w:trPr>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9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2002</w:t>
            </w:r>
          </w:p>
        </w:tc>
      </w:tr>
      <w:tr>
        <w:trPr>
          <w:trHeight w:val="216"/>
        </w:trPr>
        <w:tc>
          <w:tcPr>
            <w:tcW w:w="900" w:type="dxa"/>
            <w:vAlign w:val="bottom"/>
          </w:tcPr>
          <w:p>
            <w:pPr>
              <w:spacing w:after="0"/>
              <w:rPr>
                <w:sz w:val="18"/>
                <w:szCs w:val="18"/>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101.1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The following financial information from J&amp;J Snack Foods Corp.'s Quarterly Report on Form 10-Q for the quarter ended</w:t>
            </w:r>
          </w:p>
        </w:tc>
      </w:tr>
      <w:tr>
        <w:trPr>
          <w:trHeight w:val="234"/>
        </w:trPr>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March 28, 2026, formatted in Inline XBRL (Inline extensible Business Reporting Language):</w:t>
            </w:r>
          </w:p>
        </w:tc>
      </w:tr>
    </w:tbl>
    <w:p>
      <w:pPr>
        <w:spacing w:after="0" w:line="198" w:lineRule="exact"/>
        <w:rPr>
          <w:sz w:val="20"/>
          <w:szCs w:val="20"/>
          <w:color w:val="auto"/>
        </w:rPr>
      </w:pPr>
    </w:p>
    <w:p>
      <w:pPr>
        <w:ind w:left="3140" w:hanging="702"/>
        <w:spacing w:after="0"/>
        <w:tabs>
          <w:tab w:leader="none" w:pos="3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w:t>
      </w:r>
    </w:p>
    <w:p>
      <w:pPr>
        <w:spacing w:after="0" w:line="27" w:lineRule="exact"/>
        <w:rPr>
          <w:rFonts w:ascii="Times New Roman" w:cs="Times New Roman" w:eastAsia="Times New Roman" w:hAnsi="Times New Roman"/>
          <w:sz w:val="18"/>
          <w:szCs w:val="18"/>
          <w:color w:val="auto"/>
        </w:rPr>
      </w:pPr>
    </w:p>
    <w:p>
      <w:pPr>
        <w:ind w:left="3160" w:hanging="722"/>
        <w:spacing w:after="0"/>
        <w:tabs>
          <w:tab w:leader="none" w:pos="3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Earnings,</w:t>
      </w:r>
    </w:p>
    <w:p>
      <w:pPr>
        <w:spacing w:after="0" w:line="9" w:lineRule="exact"/>
        <w:rPr>
          <w:rFonts w:ascii="Times New Roman" w:cs="Times New Roman" w:eastAsia="Times New Roman" w:hAnsi="Times New Roman"/>
          <w:sz w:val="18"/>
          <w:szCs w:val="18"/>
          <w:color w:val="auto"/>
        </w:rPr>
      </w:pPr>
    </w:p>
    <w:p>
      <w:pPr>
        <w:ind w:left="3160" w:hanging="722"/>
        <w:spacing w:after="0"/>
        <w:tabs>
          <w:tab w:leader="none" w:pos="3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rFonts w:ascii="Times New Roman" w:cs="Times New Roman" w:eastAsia="Times New Roman" w:hAnsi="Times New Roman"/>
          <w:sz w:val="18"/>
          <w:szCs w:val="18"/>
          <w:color w:val="auto"/>
        </w:rPr>
      </w:pPr>
    </w:p>
    <w:p>
      <w:pPr>
        <w:ind w:left="3140" w:hanging="702"/>
        <w:spacing w:after="0"/>
        <w:tabs>
          <w:tab w:leader="none" w:pos="3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and</w:t>
      </w:r>
    </w:p>
    <w:p>
      <w:pPr>
        <w:spacing w:after="0" w:line="9" w:lineRule="exact"/>
        <w:rPr>
          <w:sz w:val="20"/>
          <w:szCs w:val="20"/>
          <w:color w:val="auto"/>
        </w:rPr>
      </w:pPr>
    </w:p>
    <w:p>
      <w:pPr>
        <w:ind w:left="3140" w:hanging="702"/>
        <w:spacing w:after="0"/>
        <w:tabs>
          <w:tab w:leader="none" w:pos="3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to the Consolidated Financial Statements</w:t>
      </w:r>
    </w:p>
    <w:p>
      <w:pPr>
        <w:spacing w:after="0" w:line="207" w:lineRule="exact"/>
        <w:rPr>
          <w:sz w:val="20"/>
          <w:szCs w:val="20"/>
          <w:color w:val="auto"/>
        </w:rPr>
      </w:pPr>
    </w:p>
    <w:p>
      <w:pPr>
        <w:jc w:val="center"/>
        <w:ind w:left="5540" w:right="2220" w:hanging="4560"/>
        <w:spacing w:after="0" w:line="563" w:lineRule="auto"/>
        <w:tabs>
          <w:tab w:leader="none" w:pos="24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containing in Exhibit 101)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966" w:gutter="0" w:footer="0" w:header="0"/>
        </w:sectPr>
      </w:pPr>
    </w:p>
    <w:bookmarkStart w:id="33" w:name="page34"/>
    <w:bookmarkEnd w:id="3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&amp; J SNACK FOODS CORP.</w:t>
            </w:r>
          </w:p>
        </w:tc>
      </w:tr>
      <w:tr>
        <w:trPr>
          <w:trHeight w:val="392"/>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2026</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 Fachner</w:t>
            </w:r>
          </w:p>
        </w:tc>
      </w:tr>
      <w:tr>
        <w:trPr>
          <w:trHeight w:val="218"/>
        </w:trPr>
        <w:tc>
          <w:tcPr>
            <w:tcW w:w="450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 Fachner</w:t>
            </w:r>
          </w:p>
        </w:tc>
        <w:tc>
          <w:tcPr>
            <w:tcW w:w="24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450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2026</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Shawn Munsell</w:t>
            </w:r>
          </w:p>
        </w:tc>
      </w:tr>
      <w:tr>
        <w:trPr>
          <w:trHeight w:val="20"/>
        </w:trPr>
        <w:tc>
          <w:tcPr>
            <w:tcW w:w="45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8"/>
        </w:trPr>
        <w:tc>
          <w:tcPr>
            <w:tcW w:w="45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Munsell, Senior Vice</w:t>
            </w:r>
          </w:p>
        </w:tc>
      </w:tr>
      <w:tr>
        <w:trPr>
          <w:trHeight w:val="216"/>
        </w:trPr>
        <w:tc>
          <w:tcPr>
            <w:tcW w:w="45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President and Chief Financial Officer</w:t>
            </w:r>
          </w:p>
        </w:tc>
      </w:tr>
      <w:tr>
        <w:trPr>
          <w:trHeight w:val="216"/>
        </w:trPr>
        <w:tc>
          <w:tcPr>
            <w:tcW w:w="45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4"/>
        </w:trPr>
        <w:tc>
          <w:tcPr>
            <w:tcW w:w="450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32"/>
        </w:trPr>
        <w:tc>
          <w:tcPr>
            <w:tcW w:w="4500" w:type="dxa"/>
            <w:vAlign w:val="bottom"/>
          </w:tcPr>
          <w:p>
            <w:pPr>
              <w:spacing w:after="0"/>
              <w:rPr>
                <w:sz w:val="24"/>
                <w:szCs w:val="24"/>
                <w:color w:val="auto"/>
              </w:rPr>
            </w:pPr>
          </w:p>
        </w:tc>
        <w:tc>
          <w:tcPr>
            <w:tcW w:w="1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tcPr>
          <w:p>
            <w:pPr>
              <w:spacing w:after="0"/>
              <w:rPr>
                <w:sz w:val="24"/>
                <w:szCs w:val="24"/>
                <w:color w:val="auto"/>
              </w:rPr>
            </w:pPr>
          </w:p>
        </w:tc>
      </w:tr>
    </w:tbl>
    <w:p>
      <w:pPr>
        <w:sectPr>
          <w:pgSz w:w="11900" w:h="16838" w:orient="portrait"/>
          <w:cols w:equalWidth="0" w:num="1">
            <w:col w:w="10340"/>
          </w:cols>
          <w:pgMar w:left="320" w:top="576" w:right="1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 Fachner, certify that:</w:t>
      </w:r>
    </w:p>
    <w:p>
      <w:pPr>
        <w:spacing w:after="0" w:line="225" w:lineRule="exact"/>
        <w:rPr>
          <w:sz w:val="20"/>
          <w:szCs w:val="20"/>
          <w:color w:val="auto"/>
        </w:rPr>
      </w:pPr>
    </w:p>
    <w:p>
      <w:pPr>
        <w:ind w:left="540" w:hanging="532"/>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J &amp; J Snack Foods Corp.;</w:t>
      </w:r>
    </w:p>
    <w:p>
      <w:pPr>
        <w:spacing w:after="0" w:line="225" w:lineRule="exact"/>
        <w:rPr>
          <w:rFonts w:ascii="Times New Roman" w:cs="Times New Roman" w:eastAsia="Times New Roman" w:hAnsi="Times New Roman"/>
          <w:sz w:val="18"/>
          <w:szCs w:val="18"/>
          <w:color w:val="auto"/>
        </w:rPr>
      </w:pPr>
    </w:p>
    <w:p>
      <w:pPr>
        <w:jc w:val="both"/>
        <w:ind w:right="220" w:firstLine="8"/>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180" w:firstLine="8"/>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76" w:lineRule="auto"/>
        <w:tabs>
          <w:tab w:leader="none" w:pos="53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controls and procedures for financial reporting (as defined in Exchange Act Rules 13a-15(f) and</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7" w:lineRule="exact"/>
        <w:rPr>
          <w:sz w:val="20"/>
          <w:szCs w:val="20"/>
          <w:color w:val="auto"/>
        </w:rPr>
      </w:pPr>
    </w:p>
    <w:p>
      <w:pPr>
        <w:ind w:firstLine="8"/>
        <w:spacing w:after="0" w:line="266" w:lineRule="auto"/>
        <w:tabs>
          <w:tab w:leader="none" w:pos="5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 w:firstLine="8"/>
        <w:spacing w:after="0" w:line="266" w:lineRule="auto"/>
        <w:tabs>
          <w:tab w:leader="none" w:pos="5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and procedures for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ind w:firstLine="8"/>
        <w:spacing w:after="0" w:line="282" w:lineRule="auto"/>
        <w:tabs>
          <w:tab w:leader="none" w:pos="5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360" w:firstLine="8"/>
        <w:spacing w:after="0" w:line="282" w:lineRule="auto"/>
        <w:tabs>
          <w:tab w:leader="none" w:pos="5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firstLine="8"/>
        <w:spacing w:after="0" w:line="282" w:lineRule="auto"/>
        <w:tabs>
          <w:tab w:leader="none" w:pos="5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sz w:val="20"/>
          <w:szCs w:val="20"/>
          <w:color w:val="auto"/>
        </w:rPr>
      </w:pPr>
    </w:p>
    <w:p>
      <w:pPr>
        <w:ind w:right="400" w:firstLine="8"/>
        <w:spacing w:after="0" w:line="282" w:lineRule="auto"/>
        <w:tabs>
          <w:tab w:leader="none" w:pos="5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60" w:firstLine="8"/>
        <w:spacing w:after="0" w:line="282" w:lineRule="auto"/>
        <w:tabs>
          <w:tab w:leader="none" w:pos="5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/s/ Dan Fachner</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Dan Fachner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Chairman, President and Chief Executive Officer (Principal Executive Officer)</w:t>
      </w:r>
    </w:p>
    <w:p>
      <w:pPr>
        <w:sectPr>
          <w:pgSz w:w="11900" w:h="16838" w:orient="portrait"/>
          <w:cols w:equalWidth="0" w:num="1">
            <w:col w:w="11200"/>
          </w:cols>
          <w:pgMar w:left="320" w:top="580"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Shawn Munsell, certify that:</w:t>
      </w:r>
    </w:p>
    <w:p>
      <w:pPr>
        <w:spacing w:after="0" w:line="225" w:lineRule="exact"/>
        <w:rPr>
          <w:sz w:val="20"/>
          <w:szCs w:val="20"/>
          <w:color w:val="auto"/>
        </w:rPr>
      </w:pPr>
    </w:p>
    <w:p>
      <w:pPr>
        <w:ind w:left="540" w:hanging="532"/>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J &amp; J Snack Foods Corp.;</w:t>
      </w:r>
    </w:p>
    <w:p>
      <w:pPr>
        <w:spacing w:after="0" w:line="225" w:lineRule="exact"/>
        <w:rPr>
          <w:rFonts w:ascii="Times New Roman" w:cs="Times New Roman" w:eastAsia="Times New Roman" w:hAnsi="Times New Roman"/>
          <w:sz w:val="18"/>
          <w:szCs w:val="18"/>
          <w:color w:val="auto"/>
        </w:rPr>
      </w:pPr>
    </w:p>
    <w:p>
      <w:pPr>
        <w:jc w:val="both"/>
        <w:ind w:right="220" w:firstLine="8"/>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180" w:firstLine="8"/>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76" w:lineRule="auto"/>
        <w:tabs>
          <w:tab w:leader="none" w:pos="53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controls and procedures for financial reporting (as defined in Exchange Act Rules 13a-15(f) and</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7" w:lineRule="exact"/>
        <w:rPr>
          <w:sz w:val="20"/>
          <w:szCs w:val="20"/>
          <w:color w:val="auto"/>
        </w:rPr>
      </w:pPr>
    </w:p>
    <w:p>
      <w:pPr>
        <w:ind w:firstLine="8"/>
        <w:spacing w:after="0" w:line="266" w:lineRule="auto"/>
        <w:tabs>
          <w:tab w:leader="none" w:pos="5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 w:firstLine="8"/>
        <w:spacing w:after="0" w:line="266" w:lineRule="auto"/>
        <w:tabs>
          <w:tab w:leader="none" w:pos="5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and procedures for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ind w:firstLine="8"/>
        <w:spacing w:after="0" w:line="282" w:lineRule="auto"/>
        <w:tabs>
          <w:tab w:leader="none" w:pos="5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360" w:firstLine="8"/>
        <w:spacing w:after="0" w:line="282" w:lineRule="auto"/>
        <w:tabs>
          <w:tab w:leader="none" w:pos="5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firstLine="8"/>
        <w:spacing w:after="0" w:line="282" w:lineRule="auto"/>
        <w:tabs>
          <w:tab w:leader="none" w:pos="53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sz w:val="20"/>
          <w:szCs w:val="20"/>
          <w:color w:val="auto"/>
        </w:rPr>
      </w:pPr>
    </w:p>
    <w:p>
      <w:pPr>
        <w:ind w:right="400" w:firstLine="8"/>
        <w:spacing w:after="0" w:line="282" w:lineRule="auto"/>
        <w:tabs>
          <w:tab w:leader="none" w:pos="5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5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/s/ Shawn Munsell</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Shawn Munsell, Senior Vice</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00"/>
          </w:cols>
          <w:pgMar w:left="320" w:top="580"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(Section 1350 of Chapter 63 of Title 18 of the United States Code), each of the undersigned officers of J &amp; J Snack Foods Corp. (the “Company”), does hereby certify with respect to the Quarterly Report of the Company on Form 10-Q for the quarter ended March 28, 2026 (the “Report”) that:</w:t>
      </w:r>
    </w:p>
    <w:p>
      <w:pPr>
        <w:spacing w:after="0" w:line="176" w:lineRule="exact"/>
        <w:rPr>
          <w:sz w:val="20"/>
          <w:szCs w:val="20"/>
          <w:color w:val="auto"/>
        </w:rPr>
      </w:pPr>
    </w:p>
    <w:p>
      <w:pPr>
        <w:ind w:left="940" w:hanging="608"/>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20" w:hanging="968"/>
        <w:spacing w:after="0" w:line="282" w:lineRule="auto"/>
        <w:tabs>
          <w:tab w:leader="none" w:pos="93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7, 2026</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/s/ Dan Fachner</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Dan Fachner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0920"/>
          </w:cols>
          <w:pgMar w:left="320" w:top="333" w:right="6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(Section 1350 of Chapter 63 of Title 18 of the United States Code), each of the undersigned officers of J &amp; J Snack Foods Corp. (the “Company”), does hereby certify with respect to the Quarterly Report of the Company on Form 10-Q for the quarter ended March 28, 2026 (the “Report”) that:</w:t>
      </w:r>
    </w:p>
    <w:p>
      <w:pPr>
        <w:spacing w:after="0" w:line="176" w:lineRule="exact"/>
        <w:rPr>
          <w:sz w:val="20"/>
          <w:szCs w:val="20"/>
          <w:color w:val="auto"/>
        </w:rPr>
      </w:pPr>
    </w:p>
    <w:p>
      <w:pPr>
        <w:ind w:left="940" w:hanging="608"/>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20" w:hanging="968"/>
        <w:spacing w:after="0" w:line="282" w:lineRule="auto"/>
        <w:tabs>
          <w:tab w:leader="none" w:pos="93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7, 2026</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/s/ Shawn Munsell</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Shawn Munsell, Senior Vice</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(Principal Accounting Officer)</w:t>
      </w:r>
    </w:p>
    <w:sectPr>
      <w:pgSz w:w="11900" w:h="16838" w:orient="portrait"/>
      <w:cols w:equalWidth="0" w:num="1">
        <w:col w:w="10920"/>
      </w:cols>
      <w:pgMar w:left="320" w:top="333"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lvl w:ilvl="1">
      <w:lvlJc w:val="left"/>
      <w:lvlText w:val="(%2)"/>
      <w:numFmt w:val="decimal"/>
      <w:start w:val="1"/>
    </w:lvl>
  </w:abstractNum>
  <w:abstractNum w:abstractNumId="11">
    <w:nsid w:val="257130A3"/>
    <w:multiLevelType w:val="hybridMultilevel"/>
    <w:lvl w:ilvl="0">
      <w:lvlJc w:val="left"/>
      <w:lvlText w:val="(%1)"/>
      <w:numFmt w:val="decimal"/>
      <w:start w:val="2"/>
    </w:lvl>
    <w:lvl w:ilvl="1">
      <w:lvlJc w:val="left"/>
      <w:lvlText w:val="%2"/>
      <w:numFmt w:val="decimal"/>
      <w:start w:val="1"/>
    </w:lvl>
  </w:abstractNum>
  <w:abstractNum w:abstractNumId="12">
    <w:nsid w:val="62BBD95A"/>
    <w:multiLevelType w:val="hybridMultilevel"/>
    <w:lvl w:ilvl="0">
      <w:lvlJc w:val="left"/>
      <w:lvlText w:val="(%1)"/>
      <w:numFmt w:val="lowerRoman"/>
      <w:start w:val="1"/>
    </w:lvl>
  </w:abstractNum>
  <w:abstractNum w:abstractNumId="13">
    <w:nsid w:val="436C6125"/>
    <w:multiLevelType w:val="hybridMultilevel"/>
    <w:lvl w:ilvl="0">
      <w:lvlJc w:val="left"/>
      <w:lvlText w:val="(%1)"/>
      <w:numFmt w:val="lowerRoman"/>
      <w:start w:val="4"/>
    </w:lvl>
  </w:abstractNum>
  <w:abstractNum w:abstractNumId="14">
    <w:nsid w:val="628C895D"/>
    <w:multiLevelType w:val="hybridMultilevel"/>
    <w:lvl w:ilvl="0">
      <w:lvlJc w:val="left"/>
      <w:lvlText w:val="%1"/>
      <w:numFmt w:val="decimal"/>
      <w:start w:val="104"/>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3"/>
    </w:lvl>
  </w:abstractNum>
  <w:abstractNum w:abstractNumId="18">
    <w:nsid w:val="2D1D5AE9"/>
    <w:multiLevelType w:val="hybridMultilevel"/>
    <w:lvl w:ilvl="0">
      <w:lvlJc w:val="left"/>
      <w:lvlText w:val="%1."/>
      <w:numFmt w:val="decimal"/>
      <w:start w:val="5"/>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3"/>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2026-05-07T15:42:42Z</dcterms:created>
  <dcterms:modified xsi:type="dcterms:W3CDTF">2026-05-07T15:42:42Z</dcterms:modified>
</cp:coreProperties>
</file>