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jjsf20251227_10q.htm"/>
      <w:bookmarkStart w:id="1" w:name="ksjjsf20251227_10q"/>
      <w:bookmarkEnd w:id="0"/>
      <w:bookmarkEnd w:id="1"/>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UNITED STATES</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FORM 10-Q</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30"/>
        <w:gridCol w:w="7160"/>
      </w:tblGrid>
      <w:tr>
        <w:trPr/>
        <w:tc>
          <w:tcPr>
            <w:tcW w:w="230" w:type="dxa"/>
            <w:tcBorders/>
            <w:vAlign w:val="center"/>
          </w:tcPr>
          <w:p>
            <w:pPr>
              <w:pStyle w:val="TableContents"/>
              <w:bidi w:val="0"/>
              <w:spacing w:before="0" w:after="0"/>
              <w:ind w:left="0" w:right="0" w:hanging="0"/>
              <w:jc w:val="left"/>
              <w:rPr/>
            </w:pPr>
            <w:r>
              <w:rPr/>
              <w:t>☒</w:t>
            </w:r>
          </w:p>
        </w:tc>
        <w:tc>
          <w:tcPr>
            <w:tcW w:w="71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period ended December 27,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230"/>
        <w:gridCol w:w="7235"/>
      </w:tblGrid>
      <w:tr>
        <w:trPr/>
        <w:tc>
          <w:tcPr>
            <w:tcW w:w="230" w:type="dxa"/>
            <w:tcBorders/>
            <w:vAlign w:val="center"/>
          </w:tcPr>
          <w:p>
            <w:pPr>
              <w:pStyle w:val="TableContents"/>
              <w:bidi w:val="0"/>
              <w:spacing w:before="0" w:after="0"/>
              <w:ind w:left="0" w:right="0" w:hanging="0"/>
              <w:jc w:val="left"/>
              <w:rPr/>
            </w:pPr>
            <w:r>
              <w:rPr/>
              <w:t>☐</w:t>
            </w:r>
          </w:p>
        </w:tc>
        <w:tc>
          <w:tcPr>
            <w:tcW w:w="7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r>
        <w:trPr/>
        <w:tc>
          <w:tcPr>
            <w:tcW w:w="23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283"/>
              <w:jc w:val="left"/>
              <w:rPr/>
            </w:pPr>
            <w:r>
              <w:rPr/>
              <w:t> </w:t>
            </w:r>
          </w:p>
        </w:tc>
      </w:tr>
      <w:tr>
        <w:trPr/>
        <w:tc>
          <w:tcPr>
            <w:tcW w:w="23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 the transition period from _____ to 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0-14616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40"/>
        </w:rPr>
      </w:pPr>
      <w:r>
        <w:rPr>
          <w:rFonts w:ascii="Times New Roman" w:hAnsi="Times New Roman"/>
          <w:b/>
          <w:caps w:val="false"/>
          <w:smallCaps w:val="false"/>
          <w:sz w:val="40"/>
        </w:rPr>
        <w:t>J&amp;J SNACK FOODS CORP.</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5600"/>
        <w:gridCol w:w="3440"/>
      </w:tblGrid>
      <w:tr>
        <w:trPr/>
        <w:tc>
          <w:tcPr>
            <w:tcW w:w="5600" w:type="dxa"/>
            <w:tcBorders/>
            <w:vAlign w:val="center"/>
          </w:tcPr>
          <w:p>
            <w:pPr>
              <w:pStyle w:val="TableContents"/>
              <w:bidi w:val="0"/>
              <w:spacing w:before="0" w:after="283"/>
              <w:jc w:val="center"/>
              <w:rPr>
                <w:b/>
              </w:rPr>
            </w:pPr>
            <w:r>
              <w:rPr>
                <w:b/>
              </w:rPr>
              <w:t>New Jersey</w:t>
            </w:r>
          </w:p>
        </w:tc>
        <w:tc>
          <w:tcPr>
            <w:tcW w:w="3440" w:type="dxa"/>
            <w:tcBorders/>
            <w:vAlign w:val="center"/>
          </w:tcPr>
          <w:p>
            <w:pPr>
              <w:pStyle w:val="TableContents"/>
              <w:bidi w:val="0"/>
              <w:spacing w:before="0" w:after="283"/>
              <w:jc w:val="center"/>
              <w:rPr>
                <w:b/>
              </w:rPr>
            </w:pPr>
            <w:r>
              <w:rPr>
                <w:b/>
              </w:rPr>
              <w:t>22-1935537</w:t>
            </w:r>
          </w:p>
        </w:tc>
      </w:tr>
      <w:tr>
        <w:trPr/>
        <w:tc>
          <w:tcPr>
            <w:tcW w:w="5600" w:type="dxa"/>
            <w:tcBorders/>
            <w:vAlign w:val="center"/>
          </w:tcPr>
          <w:p>
            <w:pPr>
              <w:pStyle w:val="TableContents"/>
              <w:bidi w:val="0"/>
              <w:spacing w:before="0" w:after="283"/>
              <w:jc w:val="center"/>
              <w:rPr/>
            </w:pPr>
            <w:r>
              <w:rPr/>
              <w:t>(State or other jurisdiction of incorporation or organization)</w:t>
            </w:r>
          </w:p>
        </w:tc>
        <w:tc>
          <w:tcPr>
            <w:tcW w:w="3440" w:type="dxa"/>
            <w:tcBorders/>
            <w:vAlign w:val="center"/>
          </w:tcPr>
          <w:p>
            <w:pPr>
              <w:pStyle w:val="TableContents"/>
              <w:bidi w:val="0"/>
              <w:spacing w:before="0" w:after="283"/>
              <w:jc w:val="center"/>
              <w:rPr/>
            </w:pPr>
            <w:r>
              <w:rPr/>
              <w:t>(I.R.S. Employer Identification No.)</w:t>
            </w:r>
          </w:p>
        </w:tc>
      </w:tr>
      <w:tr>
        <w:trPr/>
        <w:tc>
          <w:tcPr>
            <w:tcW w:w="5600" w:type="dxa"/>
            <w:tcBorders/>
            <w:vAlign w:val="center"/>
          </w:tcPr>
          <w:p>
            <w:pPr>
              <w:pStyle w:val="TableContents"/>
              <w:bidi w:val="0"/>
              <w:spacing w:before="0" w:after="283"/>
              <w:jc w:val="center"/>
              <w:rPr/>
            </w:pPr>
            <w:r>
              <w:rPr/>
              <w:t> </w:t>
            </w:r>
          </w:p>
        </w:tc>
        <w:tc>
          <w:tcPr>
            <w:tcW w:w="3440" w:type="dxa"/>
            <w:tcBorders/>
            <w:vAlign w:val="center"/>
          </w:tcPr>
          <w:p>
            <w:pPr>
              <w:pStyle w:val="TableContents"/>
              <w:bidi w:val="0"/>
              <w:spacing w:before="0" w:after="283"/>
              <w:jc w:val="center"/>
              <w:rPr/>
            </w:pPr>
            <w:r>
              <w:rPr/>
              <w:t> </w:t>
            </w:r>
          </w:p>
        </w:tc>
      </w:tr>
      <w:tr>
        <w:trPr/>
        <w:tc>
          <w:tcPr>
            <w:tcW w:w="560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350 Fellowship Road,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Mt. Laurel, New Jersey</w:t>
            </w:r>
          </w:p>
        </w:tc>
        <w:tc>
          <w:tcPr>
            <w:tcW w:w="3440" w:type="dxa"/>
            <w:tcBorders/>
            <w:vAlign w:val="center"/>
          </w:tcPr>
          <w:p>
            <w:pPr>
              <w:pStyle w:val="TableContents"/>
              <w:bidi w:val="0"/>
              <w:spacing w:before="0" w:after="283"/>
              <w:jc w:val="center"/>
              <w:rPr>
                <w:b/>
              </w:rPr>
            </w:pPr>
            <w:r>
              <w:rPr>
                <w:b/>
              </w:rPr>
              <w:t>08054</w:t>
            </w:r>
          </w:p>
        </w:tc>
      </w:tr>
      <w:tr>
        <w:trPr/>
        <w:tc>
          <w:tcPr>
            <w:tcW w:w="5600" w:type="dxa"/>
            <w:tcBorders/>
            <w:vAlign w:val="center"/>
          </w:tcPr>
          <w:p>
            <w:pPr>
              <w:pStyle w:val="TableContents"/>
              <w:bidi w:val="0"/>
              <w:spacing w:before="0" w:after="283"/>
              <w:jc w:val="center"/>
              <w:rPr/>
            </w:pPr>
            <w:r>
              <w:rPr/>
              <w:t>(Address of principal executive offices)</w:t>
            </w:r>
          </w:p>
        </w:tc>
        <w:tc>
          <w:tcPr>
            <w:tcW w:w="3440"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(856) 665-9533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0" w:type="dxa"/>
          <w:left w:w="0" w:type="dxa"/>
          <w:bottom w:w="28" w:type="dxa"/>
          <w:right w:w="0" w:type="dxa"/>
        </w:tblCellMar>
      </w:tblPr>
      <w:tblGrid>
        <w:gridCol w:w="2375"/>
        <w:gridCol w:w="1415"/>
        <w:gridCol w:w="3890"/>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141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Trading Symbol</w:t>
            </w:r>
          </w:p>
        </w:tc>
        <w:tc>
          <w:tcPr>
            <w:tcW w:w="389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JJSF</w:t>
            </w:r>
          </w:p>
        </w:tc>
        <w:tc>
          <w:tcPr>
            <w:tcW w:w="389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925"/>
        <w:gridCol w:w="230"/>
        <w:gridCol w:w="2225"/>
        <w:gridCol w:w="24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2155" w:type="dxa"/>
            <w:gridSpan w:val="2"/>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28" w:type="dxa"/>
          <w:right w:w="0" w:type="dxa"/>
        </w:tblCellMar>
      </w:tblPr>
      <w:tblGrid>
        <w:gridCol w:w="2375"/>
        <w:gridCol w:w="3005"/>
      </w:tblGrid>
      <w:tr>
        <w:trPr/>
        <w:tc>
          <w:tcPr>
            <w:tcW w:w="237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w:t>
            </w:r>
          </w:p>
        </w:tc>
        <w:tc>
          <w:tcPr>
            <w:tcW w:w="300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as of February 2, 2026</w:t>
            </w:r>
          </w:p>
        </w:tc>
      </w:tr>
      <w:tr>
        <w:trPr/>
        <w:tc>
          <w:tcPr>
            <w:tcW w:w="237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300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19,011,903 shares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9"/>
        <w:gridCol w:w="8565"/>
        <w:gridCol w:w="681"/>
      </w:tblGrid>
      <w:tr>
        <w:trPr/>
        <w:tc>
          <w:tcPr>
            <w:tcW w:w="95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INDEX</w:t>
            </w:r>
          </w:p>
        </w:tc>
        <w:tc>
          <w:tcPr>
            <w:tcW w:w="856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pPr>
            <w:r>
              <w:rPr/>
              <w:t> </w:t>
            </w:r>
          </w:p>
        </w:tc>
      </w:tr>
      <w:tr>
        <w:trPr/>
        <w:tc>
          <w:tcPr>
            <w:tcW w:w="9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56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Page</w:t>
            </w:r>
          </w:p>
        </w:tc>
      </w:tr>
      <w:tr>
        <w:trPr/>
        <w:tc>
          <w:tcPr>
            <w:tcW w:w="959"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565" w:type="dxa"/>
            <w:tcBorders/>
            <w:vAlign w:val="center"/>
          </w:tcPr>
          <w:p>
            <w:pPr>
              <w:pStyle w:val="TableContents"/>
              <w:bidi w:val="0"/>
              <w:spacing w:before="0" w:after="283"/>
              <w:jc w:val="left"/>
              <w:rPr/>
            </w:pPr>
            <w:r>
              <w:rPr/>
              <w:t> </w:t>
            </w:r>
          </w:p>
        </w:tc>
        <w:tc>
          <w:tcPr>
            <w:tcW w:w="6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w:t>
            </w:r>
          </w:p>
        </w:tc>
      </w:tr>
      <w:tr>
        <w:trPr/>
        <w:tc>
          <w:tcPr>
            <w:tcW w:w="952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       Financial Information</w:t>
            </w:r>
          </w:p>
        </w:tc>
        <w:tc>
          <w:tcPr>
            <w:tcW w:w="681" w:type="dxa"/>
            <w:tcBorders/>
            <w:shd w:fill="CCEEFF" w:val="clear"/>
            <w:vAlign w:val="center"/>
          </w:tcPr>
          <w:p>
            <w:pPr>
              <w:pStyle w:val="TableContents"/>
              <w:bidi w:val="0"/>
              <w:spacing w:before="0" w:after="283"/>
              <w:jc w:val="left"/>
              <w:rPr/>
            </w:pPr>
            <w:r>
              <w:rPr/>
              <w:t> </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l.</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Financial Statements</w:t>
            </w:r>
          </w:p>
        </w:tc>
        <w:tc>
          <w:tcPr>
            <w:tcW w:w="681" w:type="dxa"/>
            <w:tcBorders/>
            <w:shd w:fill="CCEEFF" w:val="clear"/>
            <w:vAlign w:val="center"/>
          </w:tcPr>
          <w:p>
            <w:pPr>
              <w:pStyle w:val="TableContents"/>
              <w:bidi w:val="0"/>
              <w:spacing w:before="0" w:after="283"/>
              <w:jc w:val="left"/>
              <w:rPr/>
            </w:pPr>
            <w:r>
              <w:rPr/>
              <w:t> </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 December 27, 2025 (unaudited) and September 27, 2025</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Earnings (unaudited) – Three Months Ended December 27, 2025 and December 28,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Income (unaudited) – Three Months Ended December 27, 2025 and December 28,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Changes In Stockholders’ Equity (unaudited) – Three Months Ended December 27, 2025 and December 28,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(unaudited) – Three Months Ended December 27, 2025 and December 28, 2024</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the Consolidated Financial Statements (unaudited)</w:t>
            </w:r>
          </w:p>
        </w:tc>
        <w:tc>
          <w:tcPr>
            <w:tcW w:w="6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Quantitative and Qualitative Disclosures About Market Risk</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24"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Part II.       Other Information</w:t>
            </w:r>
          </w:p>
        </w:tc>
        <w:tc>
          <w:tcPr>
            <w:tcW w:w="681" w:type="dxa"/>
            <w:tcBorders/>
            <w:shd w:fill="CCEEFF" w:val="clear"/>
            <w:vAlign w:val="center"/>
          </w:tcPr>
          <w:p>
            <w:pPr>
              <w:pStyle w:val="TableContents"/>
              <w:bidi w:val="0"/>
              <w:spacing w:before="0" w:after="283"/>
              <w:jc w:val="left"/>
              <w:rPr/>
            </w:pPr>
            <w:r>
              <w:rPr/>
              <w:t> </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Proceedings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29</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Unregistered Sales of Equity Securities and Use of Proceeds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Information</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959" w:type="dxa"/>
            <w:tcBorders/>
            <w:shd w:fill="FFFFFF" w:val="clear"/>
            <w:vAlign w:val="center"/>
          </w:tcPr>
          <w:p>
            <w:pPr>
              <w:pStyle w:val="TableContents"/>
              <w:bidi w:val="0"/>
              <w:spacing w:before="0" w:after="283"/>
              <w:jc w:val="left"/>
              <w:rPr/>
            </w:pPr>
            <w:r>
              <w:rPr/>
              <w:t> </w:t>
            </w:r>
          </w:p>
        </w:tc>
        <w:tc>
          <w:tcPr>
            <w:tcW w:w="8565" w:type="dxa"/>
            <w:tcBorders/>
            <w:shd w:fill="FFFFFF" w:val="clear"/>
            <w:vAlign w:val="center"/>
          </w:tcPr>
          <w:p>
            <w:pPr>
              <w:pStyle w:val="TableContents"/>
              <w:bidi w:val="0"/>
              <w:spacing w:before="0" w:after="283"/>
              <w:jc w:val="left"/>
              <w:rPr/>
            </w:pPr>
            <w:r>
              <w:rPr/>
              <w:t> </w:t>
            </w:r>
          </w:p>
        </w:tc>
        <w:tc>
          <w:tcPr>
            <w:tcW w:w="681" w:type="dxa"/>
            <w:tcBorders/>
            <w:shd w:fill="FFFFFF" w:val="clear"/>
            <w:vAlign w:val="center"/>
          </w:tcPr>
          <w:p>
            <w:pPr>
              <w:pStyle w:val="TableContents"/>
              <w:bidi w:val="0"/>
              <w:spacing w:before="0" w:after="283"/>
              <w:jc w:val="left"/>
              <w:rPr/>
            </w:pPr>
            <w:r>
              <w:rPr/>
              <w:t> </w:t>
            </w:r>
          </w:p>
        </w:tc>
      </w:tr>
      <w:tr>
        <w:trPr/>
        <w:tc>
          <w:tcPr>
            <w:tcW w:w="9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c>
          <w:tcPr>
            <w:tcW w:w="6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w:t>
      </w:r>
      <w:r>
        <w:rPr>
          <w:rFonts w:ascii="Times New Roman" w:hAnsi="Times New Roman"/>
          <w:caps w:val="false"/>
          <w:smallCaps w:val="false"/>
          <w:sz w:val="20"/>
        </w:rPr>
        <w:t>                </w:t>
      </w:r>
      <w:r>
        <w:rPr>
          <w:rFonts w:ascii="Times New Roman" w:hAnsi="Times New Roman"/>
          <w:b/>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w:t>
      </w:r>
      <w:r>
        <w:rPr>
          <w:rFonts w:ascii="Times New Roman" w:hAnsi="Times New Roman"/>
          <w:b/>
          <w:caps w:val="false"/>
          <w:smallCaps w:val="false"/>
          <w:sz w:val="20"/>
        </w:rPr>
        <w:t>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4280" w:type="dxa"/>
        <w:jc w:val="left"/>
        <w:tblInd w:w="0" w:type="dxa"/>
        <w:tblLayout w:type="fixed"/>
        <w:tblCellMar>
          <w:top w:w="0" w:type="dxa"/>
          <w:left w:w="0" w:type="dxa"/>
          <w:bottom w:w="0" w:type="dxa"/>
          <w:right w:w="0" w:type="dxa"/>
        </w:tblCellMar>
      </w:tblPr>
      <w:tblGrid>
        <w:gridCol w:w="4280"/>
      </w:tblGrid>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J&amp;J SNACK FOODS CORP. AND SUBSIDIARIES</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tc>
      </w:tr>
      <w:tr>
        <w:trPr/>
        <w:tc>
          <w:tcPr>
            <w:tcW w:w="42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40"/>
        <w:gridCol w:w="60"/>
        <w:gridCol w:w="139"/>
        <w:gridCol w:w="941"/>
        <w:gridCol w:w="80"/>
        <w:gridCol w:w="60"/>
        <w:gridCol w:w="142"/>
        <w:gridCol w:w="962"/>
        <w:gridCol w:w="81"/>
      </w:tblGrid>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pPr>
            <w:r>
              <w:rPr/>
              <w:t> </w:t>
            </w:r>
          </w:p>
        </w:tc>
        <w:tc>
          <w:tcPr>
            <w:tcW w:w="962"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81" w:type="dxa"/>
            <w:tcBorders/>
            <w:vAlign w:val="center"/>
          </w:tcPr>
          <w:p>
            <w:pPr>
              <w:pStyle w:val="TableContents"/>
              <w:bidi w:val="0"/>
              <w:spacing w:before="0" w:after="283"/>
              <w:jc w:val="left"/>
              <w:rPr/>
            </w:pPr>
            <w:r>
              <w:rPr/>
              <w:t> </w:t>
            </w:r>
          </w:p>
        </w:tc>
      </w:tr>
      <w:tr>
        <w:trPr/>
        <w:tc>
          <w:tcPr>
            <w:tcW w:w="7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105,893</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184,069</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175,173</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13,197</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412,517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478,332</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127,022</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machinery and equipment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488,771</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equipment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315,446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309,371</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16,720</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 equipment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49,996</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13,899</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at cost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1,026,153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1,009,463</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634,625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619,310</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390,153</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 intangible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105,920</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intangible assets, net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66,730</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151,538</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513,016</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82,405</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insurance liability</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16,441</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12,606</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21,624</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expense</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26,475</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payable</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15,552</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175,666</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140,021</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91,345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91,703</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6,061</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authorized 10,000,000 shares; none issued</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authorized, 50,000,000 shares; issued and outstanding 18,996,000 as of December 27, 2025 and 19,440,000 as of September 27, 2025</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9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139,118</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9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840,224</w:t>
            </w:r>
          </w:p>
        </w:tc>
        <w:tc>
          <w:tcPr>
            <w:tcW w:w="81" w:type="dxa"/>
            <w:tcBorders/>
            <w:shd w:fill="CCEEFF" w:val="clear"/>
            <w:vAlign w:val="center"/>
          </w:tcPr>
          <w:p>
            <w:pPr>
              <w:pStyle w:val="TableContents"/>
              <w:bidi w:val="0"/>
              <w:spacing w:before="0" w:after="283"/>
              <w:jc w:val="left"/>
              <w:rPr/>
            </w:pPr>
            <w:r>
              <w:rPr/>
              <w:t> </w:t>
            </w:r>
          </w:p>
        </w:tc>
      </w:tr>
      <w:tr>
        <w:trPr/>
        <w:tc>
          <w:tcPr>
            <w:tcW w:w="774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912,858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966,695</w:t>
            </w:r>
          </w:p>
        </w:tc>
        <w:tc>
          <w:tcPr>
            <w:tcW w:w="81" w:type="dxa"/>
            <w:tcBorders/>
            <w:shd w:fill="FFFFFF" w:val="clear"/>
            <w:vAlign w:val="center"/>
          </w:tcPr>
          <w:p>
            <w:pPr>
              <w:pStyle w:val="TableContents"/>
              <w:bidi w:val="0"/>
              <w:spacing w:before="0" w:after="283"/>
              <w:jc w:val="left"/>
              <w:rPr/>
            </w:pPr>
            <w:r>
              <w:rPr/>
              <w:t> </w:t>
            </w:r>
          </w:p>
        </w:tc>
      </w:tr>
      <w:tr>
        <w:trPr/>
        <w:tc>
          <w:tcPr>
            <w:tcW w:w="77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J&amp;J SNACK FOODS CORP. AND SUBSIDIARIES</w:t>
            </w:r>
          </w:p>
        </w:tc>
      </w:tr>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EARNINGS</w:t>
            </w:r>
          </w:p>
        </w:tc>
      </w:tr>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tc>
      </w:tr>
    </w:tbl>
    <w:p>
      <w:pPr>
        <w:pStyle w:val="TextBody"/>
        <w:bidi w:val="0"/>
        <w:spacing w:before="0" w:after="0"/>
        <w:ind w:left="0" w:right="0" w:hanging="0"/>
        <w:jc w:val="left"/>
        <w:rPr/>
      </w:pPr>
      <w:r>
        <w:rPr/>
        <w:t> </w:t>
      </w:r>
    </w:p>
    <w:tbl>
      <w:tblPr>
        <w:tblW w:w="9323" w:type="dxa"/>
        <w:jc w:val="left"/>
        <w:tblInd w:w="0" w:type="dxa"/>
        <w:tblLayout w:type="fixed"/>
        <w:tblCellMar>
          <w:top w:w="0" w:type="dxa"/>
          <w:left w:w="0" w:type="dxa"/>
          <w:bottom w:w="0" w:type="dxa"/>
          <w:right w:w="0" w:type="dxa"/>
        </w:tblCellMar>
      </w:tblPr>
      <w:tblGrid>
        <w:gridCol w:w="6695"/>
        <w:gridCol w:w="60"/>
        <w:gridCol w:w="178"/>
        <w:gridCol w:w="996"/>
        <w:gridCol w:w="80"/>
        <w:gridCol w:w="60"/>
        <w:gridCol w:w="178"/>
        <w:gridCol w:w="996"/>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362,598</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268,697</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93,901</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28,669</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18,903</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87,662</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diluted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diluted shares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19,563</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basic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basic shares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5900" w:type="dxa"/>
        <w:jc w:val="left"/>
        <w:tblInd w:w="0" w:type="dxa"/>
        <w:tblLayout w:type="fixed"/>
        <w:tblCellMar>
          <w:top w:w="0" w:type="dxa"/>
          <w:left w:w="0" w:type="dxa"/>
          <w:bottom w:w="0" w:type="dxa"/>
          <w:right w:w="0" w:type="dxa"/>
        </w:tblCellMar>
      </w:tblPr>
      <w:tblGrid>
        <w:gridCol w:w="5900"/>
      </w:tblGrid>
      <w:tr>
        <w:trPr/>
        <w:tc>
          <w:tcPr>
            <w:tcW w:w="5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J&amp;J SNACK FOODS CORP. AND SUBSIDIARIES</w:t>
            </w:r>
            <w:r>
              <w:rPr>
                <w:rFonts w:ascii="Times New Roman" w:hAnsi="Times New Roman"/>
                <w:caps w:val="false"/>
                <w:smallCaps w:val="false"/>
                <w:sz w:val="20"/>
              </w:rPr>
              <w:t> </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COMPREHENSIVE INCOME</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tc>
      </w:tr>
      <w:tr>
        <w:trPr/>
        <w:tc>
          <w:tcPr>
            <w:tcW w:w="5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tc>
      </w:tr>
    </w:tbl>
    <w:p>
      <w:pPr>
        <w:pStyle w:val="TextBody"/>
        <w:bidi w:val="0"/>
        <w:spacing w:before="0" w:after="0"/>
        <w:ind w:left="0" w:right="0" w:hanging="0"/>
        <w:jc w:val="left"/>
        <w:rPr/>
      </w:pPr>
      <w:r>
        <w:rPr/>
        <w:t> </w:t>
      </w:r>
    </w:p>
    <w:tbl>
      <w:tblPr>
        <w:tblW w:w="6331" w:type="dxa"/>
        <w:jc w:val="left"/>
        <w:tblInd w:w="0" w:type="dxa"/>
        <w:tblLayout w:type="fixed"/>
        <w:tblCellMar>
          <w:top w:w="0" w:type="dxa"/>
          <w:left w:w="0" w:type="dxa"/>
          <w:bottom w:w="0" w:type="dxa"/>
          <w:right w:w="0" w:type="dxa"/>
        </w:tblCellMar>
      </w:tblPr>
      <w:tblGrid>
        <w:gridCol w:w="3695"/>
        <w:gridCol w:w="60"/>
        <w:gridCol w:w="240"/>
        <w:gridCol w:w="934"/>
        <w:gridCol w:w="74"/>
        <w:gridCol w:w="74"/>
        <w:gridCol w:w="218"/>
        <w:gridCol w:w="956"/>
        <w:gridCol w:w="8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comprehensive income, net of tax</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J&amp;J SNACK FOODS CORP. AND SUBSIDIARIES</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CHANGES IN STOCKHOLDERS' EQUITY</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00"/>
        <w:gridCol w:w="60"/>
        <w:gridCol w:w="60"/>
        <w:gridCol w:w="590"/>
        <w:gridCol w:w="80"/>
        <w:gridCol w:w="60"/>
        <w:gridCol w:w="125"/>
        <w:gridCol w:w="695"/>
        <w:gridCol w:w="80"/>
        <w:gridCol w:w="60"/>
        <w:gridCol w:w="208"/>
        <w:gridCol w:w="1087"/>
        <w:gridCol w:w="80"/>
        <w:gridCol w:w="60"/>
        <w:gridCol w:w="125"/>
        <w:gridCol w:w="695"/>
        <w:gridCol w:w="80"/>
        <w:gridCol w:w="60"/>
        <w:gridCol w:w="125"/>
        <w:gridCol w:w="695"/>
        <w:gridCol w:w="80"/>
      </w:tblGrid>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27,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139,118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966,695</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($0.80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0" w:type="dxa"/>
            <w:tcBorders/>
            <w:shd w:fill="FFFFFF" w:val="clear"/>
            <w:vAlign w:val="center"/>
          </w:tcPr>
          <w:p>
            <w:pPr>
              <w:pStyle w:val="TableContents"/>
              <w:bidi w:val="0"/>
              <w:spacing w:before="0" w:after="283"/>
              <w:jc w:val="left"/>
              <w:rPr/>
            </w:pPr>
            <w:r>
              <w:rPr/>
              <w:t> </w:t>
            </w:r>
          </w:p>
        </w:tc>
      </w:tr>
      <w:tr>
        <w:trPr/>
        <w:tc>
          <w:tcPr>
            <w:tcW w:w="5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vAlign w:val="center"/>
          </w:tcPr>
          <w:p>
            <w:pPr>
              <w:pStyle w:val="TableContents"/>
              <w:bidi w:val="0"/>
              <w:spacing w:before="0" w:after="283"/>
              <w:jc w:val="left"/>
              <w:rPr/>
            </w:pPr>
            <w:r>
              <w:rPr/>
              <w:t> </w:t>
            </w:r>
          </w:p>
        </w:tc>
      </w:tr>
      <w:tr>
        <w:trPr/>
        <w:tc>
          <w:tcPr>
            <w:tcW w:w="5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27,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912,858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120"/>
        <w:gridCol w:w="60"/>
        <w:gridCol w:w="60"/>
        <w:gridCol w:w="590"/>
        <w:gridCol w:w="60"/>
        <w:gridCol w:w="60"/>
        <w:gridCol w:w="125"/>
        <w:gridCol w:w="695"/>
        <w:gridCol w:w="80"/>
        <w:gridCol w:w="60"/>
        <w:gridCol w:w="208"/>
        <w:gridCol w:w="1087"/>
        <w:gridCol w:w="80"/>
        <w:gridCol w:w="60"/>
        <w:gridCol w:w="125"/>
        <w:gridCol w:w="695"/>
        <w:gridCol w:w="80"/>
        <w:gridCol w:w="60"/>
        <w:gridCol w:w="125"/>
        <w:gridCol w:w="695"/>
        <w:gridCol w:w="80"/>
      </w:tblGrid>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Amount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September 28,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956,970</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exercise of stock options, net of shares withheld for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upon vesting of service share units, net of shares withheld for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declared ($0.78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10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2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ind w:left="0" w:right="0" w:hanging="0"/>
              <w:jc w:val="left"/>
              <w:rPr/>
            </w:pPr>
            <w:r>
              <w:rPr/>
              <w:t> </w:t>
            </w:r>
          </w:p>
        </w:tc>
        <w:tc>
          <w:tcPr>
            <w:tcW w:w="10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FFFFFF" w:val="clear"/>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CCEEFF" w:val="clear"/>
            <w:vAlign w:val="center"/>
          </w:tcPr>
          <w:p>
            <w:pPr>
              <w:pStyle w:val="TableContents"/>
              <w:bidi w:val="0"/>
              <w:spacing w:before="0" w:after="283"/>
              <w:jc w:val="left"/>
              <w:rPr/>
            </w:pPr>
            <w:r>
              <w:rPr/>
              <w:t> </w:t>
            </w:r>
          </w:p>
        </w:tc>
      </w:tr>
      <w:tr>
        <w:trPr/>
        <w:tc>
          <w:tcPr>
            <w:tcW w:w="5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28,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946,840</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J&amp;J SNACK FOODS CORP. AND SUBSIDIARIES</w:t>
            </w:r>
          </w:p>
        </w:tc>
      </w:tr>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tc>
      </w:tr>
      <w:tr>
        <w:trPr/>
        <w:tc>
          <w:tcPr>
            <w:tcW w:w="45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9323" w:type="dxa"/>
        <w:jc w:val="left"/>
        <w:tblInd w:w="0" w:type="dxa"/>
        <w:tblLayout w:type="fixed"/>
        <w:tblCellMar>
          <w:top w:w="0" w:type="dxa"/>
          <w:left w:w="0" w:type="dxa"/>
          <w:bottom w:w="0" w:type="dxa"/>
          <w:right w:w="0" w:type="dxa"/>
        </w:tblCellMar>
      </w:tblPr>
      <w:tblGrid>
        <w:gridCol w:w="6695"/>
        <w:gridCol w:w="60"/>
        <w:gridCol w:w="178"/>
        <w:gridCol w:w="996"/>
        <w:gridCol w:w="80"/>
        <w:gridCol w:w="60"/>
        <w:gridCol w:w="189"/>
        <w:gridCol w:w="985"/>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Losses from disposals of property &amp; equipment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plant shutdown expenses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accounts receivable</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24,987</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 inventories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changes in other operating assets and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35,162</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vested employee service share units and performance share units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105,893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73,394</w:t>
            </w:r>
          </w:p>
        </w:tc>
        <w:tc>
          <w:tcPr>
            <w:tcW w:w="80" w:type="dxa"/>
            <w:tcBorders/>
            <w:shd w:fill="CCEEFF" w:val="clear"/>
            <w:vAlign w:val="center"/>
          </w:tcPr>
          <w:p>
            <w:pPr>
              <w:pStyle w:val="TableContents"/>
              <w:bidi w:val="0"/>
              <w:spacing w:before="0" w:after="283"/>
              <w:jc w:val="left"/>
              <w:rPr/>
            </w:pPr>
            <w:r>
              <w:rPr/>
              <w:t> </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73,562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The accompanying notes are an integral part of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J&amp;J SNACK FOODS CORP.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THE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50" w:type="dxa"/>
        <w:jc w:val="left"/>
        <w:tblInd w:w="0" w:type="dxa"/>
        <w:tblLayout w:type="fixed"/>
        <w:tblCellMar>
          <w:top w:w="0" w:type="dxa"/>
          <w:left w:w="0" w:type="dxa"/>
          <w:bottom w:w="0" w:type="dxa"/>
          <w:right w:w="0" w:type="dxa"/>
        </w:tblCellMar>
      </w:tblPr>
      <w:tblGrid>
        <w:gridCol w:w="560"/>
        <w:gridCol w:w="179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w:t>
            </w:r>
          </w:p>
        </w:tc>
        <w:tc>
          <w:tcPr>
            <w:tcW w:w="17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Basis of Presentation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have been prepared in accordance with accounting principles generally accepted in the United States for interim financial information and with the instructions to Form 10-Q and Rule 10-01 of Regulation S-X. They do not include all information and notes required by generally accepted accounting principles for complete financial statements. However, except as disclosed herein, there has been no material change in the information disclosed in the Notes to Consolidated Financial Statements included in the Company’s Annual Report on Form 10-K for the year ended September 27, 2025.</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consolidated financial statements contain all adjustments (consisting of only normal recurring adjustments) necessary to present fairly the Company’s financial position and the results of operations and cash flows.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results of operations for the three months ended December 27, 2025 and December 28, 2024 are not necessarily indicative of results for the full year. Sales of our frozen beverages and frozen novelties are generally higher in the fiscal third and fourth quarters due to warmer weather.</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While we believe that the disclosures presented are adequate to make the information not misleading, it is suggested that these consolidated financial statements be read in conjunction with the audited consolidated financial statements and the notes included in the Company’s Annual Report on Form 10-K for the fiscal year ended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560"/>
        <w:gridCol w:w="18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2</w:t>
            </w:r>
          </w:p>
        </w:tc>
        <w:tc>
          <w:tcPr>
            <w:tcW w:w="1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recognize revenue in accordance with ASC 606, “Revenue from Contracts with Customers.” Revenue-related taxes collected on behalf of customers and remitted to taxing authorities, principally sales and use taxes, are not included in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When Performance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performance obligations of our customer contracts for product and machine sales is determined by each individual purchase order and the respective products ordered, with revenue being recognized at a point-in-time when the obligation under the terms of the agreement is satisfied and product control is transferred to our customer. Specifically, control transfers to our customers when the product is delivered to, installed or picked up by our customers based upon applicable shipping terms, as our customers can direct the use and obtain substantially all of the remaining benefits from the product at this point in time. The performance obligations in our customer contracts for product are generally satisfied within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contracts for time and material repair and maintenance equipment service is the performance of the repair and maintenance with revenue being recognized at a point-in-time when the repair and maintenance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singular performance obligation of our customer repair and maintenance equipment service contracts is the performance of the repair and maintenance with revenue being recognized over the time the service is expected to be performed. Our customers are billed for service contracts in advance of performance and therefore we have a contract liability on our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Significant 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general, within our customer contracts, the purchase order identifies the product, quantity, price, pick-up allowances, payment terms and final delivery terms. Although some payment terms may be more extended, presently, the majority of our payment terms are 30 days. As a result, we have used the available practical expedient and, consequently, do not adjust our revenues for the effects of a significant financing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Shipping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amounts billed to customers related to shipping and handling are classified as revenues; therefore, we recognize revenue for shipping and handling fees at the time the products are shipped or when services are performed. The cost of shipping products to the customer is recognized at the time the products are shipped to the customer and our policy is to classify them as Distribution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fixed contract consideration, our contracts include some form of variable consideration, including sales discounts, trade promotions and certain other sales and consumer incentives, including rebates and coupon redemptions. In general, variable consideration is treated as a reduction in revenue when the related revenue is recognized. Depending on the specific type of variable consideration, we use the most likely amount method to determine the variable consideration. We believe there will be no significant changes to our estimates of variable consideration when any related uncertainties are resolved with our customers. We review and update our estimates and related accruals of variable consideration each period based on historical experience. Our recorded liability for allowances, end-user pricing adjustments and trade spending was approximately $22.3 million at December 27, 2025 and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Warranties &amp;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provide all customers with a standard or assurance type warranty. Either stated or implied, we provide assurance the related products will comply with all agreed-upon specifications and other warranties provided under the law. No services beyond an assurance warranty are provided to our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do not grant a general right of return. However, customers may return defective or non-conforming products. Customer remedies may include either a cash refund or an exchange of the product. We do not estimate a right of return and related refund liability as returns of our products are rare.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customers are billed for service contracts in advance of performance and therefore we have a contract liability on our balance sheet as follows:</w:t>
      </w:r>
    </w:p>
    <w:p>
      <w:pPr>
        <w:pStyle w:val="TextBody"/>
        <w:bidi w:val="0"/>
        <w:spacing w:before="0" w:after="0"/>
        <w:ind w:left="0" w:right="0" w:hanging="0"/>
        <w:jc w:val="left"/>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615"/>
        <w:gridCol w:w="218"/>
        <w:gridCol w:w="956"/>
        <w:gridCol w:w="97"/>
        <w:gridCol w:w="218"/>
        <w:gridCol w:w="956"/>
        <w:gridCol w:w="95"/>
      </w:tblGrid>
      <w:tr>
        <w:trPr/>
        <w:tc>
          <w:tcPr>
            <w:tcW w:w="2615" w:type="dxa"/>
            <w:tcBorders/>
            <w:vAlign w:val="center"/>
          </w:tcPr>
          <w:p>
            <w:pPr>
              <w:pStyle w:val="TableContents"/>
              <w:bidi w:val="0"/>
              <w:spacing w:before="0" w:after="283"/>
              <w:ind w:left="0" w:right="0" w:hanging="0"/>
              <w:jc w:val="left"/>
              <w:rPr/>
            </w:pPr>
            <w:r>
              <w:rPr/>
              <w:t> </w:t>
            </w:r>
          </w:p>
        </w:tc>
        <w:tc>
          <w:tcPr>
            <w:tcW w:w="24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97"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7"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ind w:left="0" w:right="0" w:hanging="0"/>
              <w:jc w:val="left"/>
              <w:rPr/>
            </w:pPr>
            <w:r>
              <w:rPr/>
              <w:t> </w:t>
            </w:r>
          </w:p>
        </w:tc>
        <w:tc>
          <w:tcPr>
            <w:tcW w:w="2445" w:type="dxa"/>
            <w:gridSpan w:val="5"/>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95"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5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3,889</w:t>
            </w:r>
          </w:p>
        </w:tc>
        <w:tc>
          <w:tcPr>
            <w:tcW w:w="97"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w:t>
            </w:r>
          </w:p>
        </w:tc>
        <w:tc>
          <w:tcPr>
            <w:tcW w:w="95" w:type="dxa"/>
            <w:tcBorders/>
            <w:shd w:fill="CCEEFF" w:val="clear"/>
            <w:vAlign w:val="center"/>
          </w:tcPr>
          <w:p>
            <w:pPr>
              <w:pStyle w:val="TableContents"/>
              <w:bidi w:val="0"/>
              <w:spacing w:before="0" w:after="283"/>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contract liability</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w:t>
            </w:r>
          </w:p>
        </w:tc>
        <w:tc>
          <w:tcPr>
            <w:tcW w:w="97"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9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w:t>
            </w:r>
          </w:p>
        </w:tc>
        <w:tc>
          <w:tcPr>
            <w:tcW w:w="95" w:type="dxa"/>
            <w:tcBorders/>
            <w:shd w:fill="FFFFFF" w:val="cle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recognized as revenue</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3,646</w:t>
            </w:r>
          </w:p>
        </w:tc>
        <w:tc>
          <w:tcPr>
            <w:tcW w:w="97"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disaggregates revenue by geography and type of good or service, which management believes best depicts how the nature, amount, timing, and uncertainty of revenue and cash flows are affected by economic factors. Product revenues within the food service and retail segments are derived from the sale of snack food products that share similar characteristics, including consistent pricing models, distribution channels, customer types, and point-in-time revenue recognition upon transfer of control. As a result, management has aggregated product lines within these segments. Product revenues within the frozen beverage segment are derived from the sale of frozen beverage syrup, cups, straws, and lids. See Note 10 for disaggregation of our net sales by geography and type of good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Allowance for Estimated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continuously monitors collections and payments from its customers and maintains a provision for estimated credit losses. The allowance for estimated credit losses considers a number of factors including the age of receivable balances, the history of losses, expectations of future credit losses, and the customers’ ability to pay off obligations. The allowance for estimated credit losses was $3.3 million at both December 27, 2025 and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560"/>
        <w:gridCol w:w="341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3</w:t>
            </w:r>
          </w:p>
        </w:tc>
        <w:tc>
          <w:tcPr>
            <w:tcW w:w="34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 Expense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Depreciation of equipment and buildings is provided for by the straight-line method over the assets’ estimated useful lives. Amortization of improvements is provided for by the straight-line method over the term of the lease or the assets’ estimated useful lives, whichever is shorter. Licenses and rights, customer relationships, franchise agreements, and technology are amortized by the straight-line method over periods ranging from 10 to 20 years. Depreciation expense was $17.2 million and $15.8 million for the three months ended December 27, 2025 and December 28,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560"/>
        <w:gridCol w:w="168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4</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common share (“EPS”) excludes dilution and is computed by dividing income available to common shareholders by the weighted average common shares outstanding during the period. Diluted EPS takes into consideration the potential dilution that could occur if securities (stock options, service share units (“RSU”)’s and performance share units (“PSU”)’s) or other contracts to issue common stock were exercised and converted into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calculation of EPS is as follows:</w:t>
      </w:r>
    </w:p>
    <w:p>
      <w:pPr>
        <w:pStyle w:val="TextBody"/>
        <w:bidi w:val="0"/>
        <w:spacing w:before="0" w:after="0"/>
        <w:ind w:left="0" w:right="0" w:hanging="0"/>
        <w:jc w:val="left"/>
        <w:rPr>
          <w:caps w:val="false"/>
          <w:smallCaps w:val="false"/>
        </w:rPr>
      </w:pPr>
      <w:r>
        <w:rPr>
          <w:caps w:val="false"/>
          <w:smallCaps w:val="false"/>
        </w:rPr>
        <w:t> </w:t>
      </w:r>
    </w:p>
    <w:tbl>
      <w:tblPr>
        <w:tblW w:w="9877" w:type="dxa"/>
        <w:jc w:val="left"/>
        <w:tblInd w:w="0" w:type="dxa"/>
        <w:tblLayout w:type="fixed"/>
        <w:tblCellMar>
          <w:top w:w="0" w:type="dxa"/>
          <w:left w:w="0" w:type="dxa"/>
          <w:bottom w:w="0" w:type="dxa"/>
          <w:right w:w="0" w:type="dxa"/>
        </w:tblCellMar>
      </w:tblPr>
      <w:tblGrid>
        <w:gridCol w:w="6035"/>
        <w:gridCol w:w="60"/>
        <w:gridCol w:w="380"/>
        <w:gridCol w:w="704"/>
        <w:gridCol w:w="109"/>
        <w:gridCol w:w="109"/>
        <w:gridCol w:w="116"/>
        <w:gridCol w:w="1148"/>
        <w:gridCol w:w="109"/>
        <w:gridCol w:w="109"/>
        <w:gridCol w:w="228"/>
        <w:gridCol w:w="695"/>
        <w:gridCol w:w="7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0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December 27, 2025</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92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9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707"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19,316</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19,428</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237,761 anti-dilutive shares have been excluded in the computation of EPS for the three months ended December 27, 2025.</w:t>
      </w:r>
    </w:p>
    <w:p>
      <w:pPr>
        <w:pStyle w:val="TextBody"/>
        <w:bidi w:val="0"/>
        <w:spacing w:before="0" w:after="0"/>
        <w:ind w:left="0" w:right="0" w:hanging="0"/>
        <w:jc w:val="left"/>
        <w:rPr>
          <w:caps w:val="false"/>
          <w:smallCaps w:val="false"/>
        </w:rPr>
      </w:pPr>
      <w:r>
        <w:rPr>
          <w:caps w:val="false"/>
          <w:smallCaps w:val="false"/>
        </w:rPr>
        <w:t> </w:t>
      </w:r>
    </w:p>
    <w:tbl>
      <w:tblPr>
        <w:tblW w:w="9781" w:type="dxa"/>
        <w:jc w:val="left"/>
        <w:tblInd w:w="0" w:type="dxa"/>
        <w:tblLayout w:type="fixed"/>
        <w:tblCellMar>
          <w:top w:w="0" w:type="dxa"/>
          <w:left w:w="0" w:type="dxa"/>
          <w:bottom w:w="0" w:type="dxa"/>
          <w:right w:w="0" w:type="dxa"/>
        </w:tblCellMar>
      </w:tblPr>
      <w:tblGrid>
        <w:gridCol w:w="6035"/>
        <w:gridCol w:w="60"/>
        <w:gridCol w:w="221"/>
        <w:gridCol w:w="863"/>
        <w:gridCol w:w="101"/>
        <w:gridCol w:w="101"/>
        <w:gridCol w:w="116"/>
        <w:gridCol w:w="1148"/>
        <w:gridCol w:w="101"/>
        <w:gridCol w:w="101"/>
        <w:gridCol w:w="212"/>
        <w:gridCol w:w="647"/>
        <w:gridCol w:w="7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1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December 28, 2024</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2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75" w:type="dxa"/>
            <w:tcBorders/>
            <w:vAlign w:val="center"/>
          </w:tcPr>
          <w:p>
            <w:pPr>
              <w:pStyle w:val="TableContents"/>
              <w:bidi w:val="0"/>
              <w:spacing w:before="0" w:after="283"/>
              <w:jc w:val="left"/>
              <w:rPr/>
            </w:pPr>
            <w:r>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11" w:type="dxa"/>
            <w:gridSpan w:val="1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 share amounts)</w:t>
            </w:r>
          </w:p>
        </w:tc>
        <w:tc>
          <w:tcPr>
            <w:tcW w:w="75" w:type="dxa"/>
            <w:tcBorders/>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Basic EPS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1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19,471</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RSUs, PSUs, and options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863"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48"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647"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Diluted EPS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863"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64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available to common stockholders plus assumed conversions</w:t>
            </w:r>
          </w:p>
        </w:tc>
        <w:tc>
          <w:tcPr>
            <w:tcW w:w="60" w:type="dxa"/>
            <w:tcBorders/>
            <w:shd w:fill="FFFF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19,563</w:t>
            </w:r>
          </w:p>
        </w:tc>
        <w:tc>
          <w:tcPr>
            <w:tcW w:w="101"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20,546 anti-dilutive shares have been excluded in the computation of EPS for the three months ended December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560"/>
        <w:gridCol w:w="234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5</w:t>
            </w:r>
          </w:p>
        </w:tc>
        <w:tc>
          <w:tcPr>
            <w:tcW w:w="23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At December 27, 2025, the Company has two stock-based employee compensation plans. Pre-tax share-based compensation was recognized as follows:</w:t>
      </w:r>
    </w:p>
    <w:p>
      <w:pPr>
        <w:pStyle w:val="TextBody"/>
        <w:bidi w:val="0"/>
        <w:spacing w:before="0" w:after="0"/>
        <w:ind w:left="0" w:right="0" w:hanging="0"/>
        <w:jc w:val="left"/>
        <w:rPr>
          <w:caps w:val="false"/>
          <w:smallCaps w:val="false"/>
        </w:rPr>
      </w:pPr>
      <w:r>
        <w:rPr>
          <w:caps w:val="false"/>
          <w:smallCaps w:val="false"/>
        </w:rPr>
        <w:t> </w:t>
      </w:r>
    </w:p>
    <w:tbl>
      <w:tblPr>
        <w:tblW w:w="6272" w:type="dxa"/>
        <w:jc w:val="left"/>
        <w:tblInd w:w="0" w:type="dxa"/>
        <w:tblLayout w:type="fixed"/>
        <w:tblCellMar>
          <w:top w:w="0" w:type="dxa"/>
          <w:left w:w="0" w:type="dxa"/>
          <w:bottom w:w="0" w:type="dxa"/>
          <w:right w:w="0" w:type="dxa"/>
        </w:tblCellMar>
      </w:tblPr>
      <w:tblGrid>
        <w:gridCol w:w="3635"/>
        <w:gridCol w:w="60"/>
        <w:gridCol w:w="240"/>
        <w:gridCol w:w="934"/>
        <w:gridCol w:w="77"/>
        <w:gridCol w:w="77"/>
        <w:gridCol w:w="240"/>
        <w:gridCol w:w="934"/>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thousands)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9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to outside directors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share units issued to employees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Performance share units issued to employees</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7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benefits</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each option grant is estimated on the date of grant using the Black-Scholes options-pricing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 is based on the historical volatility of the price of our common shares over the past 51 months for 5-year options and 10 years for 10-year options. We use historical information to estimate expected life and forfeitures within the valuation model. The expected term of awards represents the period of time that options granted are expected to be outstanding. The risk-free rate for periods within the expected life of the option is based on the U.S. Treasury yield curve in effect at the time of grant. Compensation cost is recognized using a straight-line method over the vesting or service period and is net of estimated forfeitures.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did not grant any stock options during the three months ended December 27, 2025, or during the three months ended December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issued 28,152 service share units (“RSU”)’s in the three months ended December 27, 2025, and 13,557 in the three months ended December 28, 2024. Each RSU entitles the awardee to one share of common stock upon vesting. The fair value of the RSU’s was determined based upon the closing price of the Company’s common stock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also issued 28,144 performance share units (“PSU”)’s in the three months ended December 27, 2025, and 13,548 in the three months ended December 28, 2024. Each PSU may result in the issuance of up to two shares of common stock upon vesting, dependent upon the level of achievement of the applicable performance goal. The fair value of the PSU’s was determined based upon the closing price of the Company’s common stock on the date of grant. Additionally, the Company applies a quarterly probability assessment in computing this non-cash compensation expense, and any change in estimate is reflected as a cumulative adjustment to expense in the quarter of the change.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560"/>
        <w:gridCol w:w="1205"/>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6</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account for our income taxes under the liability method. Under the liability method, deferred tax assets and liabilities are determined based on the difference between the financial statement and tax bases of assets and liabilities as measured by the enacted tax rates that will be in effect when these differences reverse. Deferred tax expense is the result of changes in deferred tax assets and liabilities.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Additionally, we recognize a liability for income taxes and associated penalties and interest for tax positions taken or expected to be taken in a tax return which are more likely than not to be overturned by taxing authorities (“uncertain tax positions”). We have not recognized a tax benefit in our financial statements for these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total amount of gross unrecognized tax benefits is $0.3 million on both December 27, 2025 and September 27, 2025, all of which would impact our effective tax rate over time, if recognized. We recognize interest and penalties related to uncertain tax positions as a part of the provision for income taxes. As of December 27, 2025 and September 27, 2025, the Company has $0.3 million of accrued interest and penalties, respectively.</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to our federal tax return and tax returns for Mexico and Canada, we file tax returns in all states that have a corporate income tax. Virtually all the returns noted above are open for examination for three to four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for the three months ended December 27, 2025 was 27.0%, which is higher than the company’s 21.0% statutory tax rate primarily as a result of state income taxes, and the tax effect in foreign jurisdictions. Our effective tax rate was 27.2% in the three months ended December 28, 2024, which was higher than the company’s 21.0% statutory tax rate primarily as a result of state income taxes, and the tax effect in foreign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605"/>
        <w:gridCol w:w="390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Note 7 </w:t>
            </w:r>
          </w:p>
        </w:tc>
        <w:tc>
          <w:tcPr>
            <w:tcW w:w="39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Pronouncements and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2023, the FASB issued ASU No. 2023-09 “Income Taxes (Topic 740): Improvements to Income Tax Disclosures.” This guidance enhances the transparency around income tax information through improvements to income tax disclosures, primarily related to the effective rate reconciliation and income taxes paid, to improve the overall effectiveness of income tax disclosures. The amendments in the ASU are effective for fiscal years beginning after December 15, 2024,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November 2024, the FASB issued ASU No. 2024-03 “Income Statement – Reporting Comprehensive Income – Expense Disaggregation Disclosures.” This guidance improves disclosure requirements and provides more detailed information around an entity’s expenses, specifically amounts related to purchases of inventory, employee compensation, depreciation, intangible asset amortization, and selling expenses, along with qualitative descriptions of certain other types of expenses. This guidance is effective for fiscal years beginning after December 15, 2027,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July 2025, the FASB issued ASU No. 2025-05 “Financial Instruments – Credit Losses (Topic 326).” This guidance introduces a practical expedient for all entities with qualifying assets to assume that current conditions remain unchanged for the remaining life of the asset with estimated credit losses. The amendments in the ASU are effective for fiscal years beginning after December 15, 2025, with early adoption permitted.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September 2025, the FASB issued ASU No. 2025-06 “Intangibles – Goodwill and Other – Internal-Use Software (Subtopic 350-40).” This authoritative guidance modernizes the accounting for internal-use software costs including the elimination of the stage-based capitalization model and updated disclosure requirements. The guidance is effective for annual reporting periods beginning after December 15, 2027, and interim reporting periods within those annual reporting periods. Amendments can be applied using a prospective transition approach, a modified transition approach, or a retrospective transition approach. We are currently assessing the impact of the guidance on our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560"/>
        <w:gridCol w:w="137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8</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BSBY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December 27, 2025, the Company is in compliance with all financial covenants terms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December 27, 2025, and as of September 27, 2025, there was no outstanding balance under the Amended Credit Agreement. As of December 27, 2025, and as of September 27, 2025, the amount available under the Amended Credit Agreement was $210.2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560"/>
        <w:gridCol w:w="860"/>
      </w:tblGrid>
      <w:tr>
        <w:trPr/>
        <w:tc>
          <w:tcPr>
            <w:tcW w:w="5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9</w:t>
            </w:r>
          </w:p>
        </w:tc>
        <w:tc>
          <w:tcPr>
            <w:tcW w:w="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798" w:type="dxa"/>
        <w:jc w:val="left"/>
        <w:tblInd w:w="0" w:type="dxa"/>
        <w:tblLayout w:type="fixed"/>
        <w:tblCellMar>
          <w:top w:w="0" w:type="dxa"/>
          <w:left w:w="0" w:type="dxa"/>
          <w:bottom w:w="0" w:type="dxa"/>
          <w:right w:w="0" w:type="dxa"/>
        </w:tblCellMar>
      </w:tblPr>
      <w:tblGrid>
        <w:gridCol w:w="2165"/>
        <w:gridCol w:w="60"/>
        <w:gridCol w:w="178"/>
        <w:gridCol w:w="996"/>
        <w:gridCol w:w="60"/>
        <w:gridCol w:w="60"/>
        <w:gridCol w:w="185"/>
        <w:gridCol w:w="1034"/>
        <w:gridCol w:w="6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03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89,512</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32,259</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Packaging materials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11,122</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Equipment parts and other</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42,280</w:t>
            </w:r>
          </w:p>
        </w:tc>
        <w:tc>
          <w:tcPr>
            <w:tcW w:w="60" w:type="dxa"/>
            <w:tcBorders/>
            <w:shd w:fill="CCEEFF" w:val="clear"/>
            <w:vAlign w:val="center"/>
          </w:tcPr>
          <w:p>
            <w:pPr>
              <w:pStyle w:val="TableContents"/>
              <w:bidi w:val="0"/>
              <w:spacing w:before="0" w:after="283"/>
              <w:jc w:val="left"/>
              <w:rPr/>
            </w:pPr>
            <w:r>
              <w:rPr/>
              <w:t> </w:t>
            </w:r>
          </w:p>
        </w:tc>
      </w:tr>
      <w:tr>
        <w:trPr/>
        <w:tc>
          <w:tcPr>
            <w:tcW w:w="21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665"/>
        <w:gridCol w:w="182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10</w:t>
            </w:r>
          </w:p>
        </w:tc>
        <w:tc>
          <w:tcPr>
            <w:tcW w:w="18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financial results are presented as three reportable segments: Food Service, Retail Supermarkets and Frozen Beverages. These segments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by the Food Service segment are soft pretzels, frozen novelties, churros, handheld products and baked goods. Our customers in the Food Service segment include snack bars and food stands in chain, department and discount stores; malls and shopping centers; casual dining restaurants; fast food and casual dining restaurants; stadiums and sports arenas; leisure and theme parks; convenience stores; movie theatres; warehouse club stores; schools, colleges and other institutions. Within the food service industry, our products are purchased by the consumer primarily for consumption at the point-of-sale or for take-away.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Retail Supermarkets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primary products sold to the retail supermarket channel are soft pretzel products – including SUPERPRETZEL and AUNTIE ANNE’S, frozen novelties including LUIGI’S Real Italian Ice, MINUTE MAID Juice Bars and Soft Frozen Lemonade, WHOLE FRUIT frozen fruit bars and sorbet, DOGSTERS ice cream style treats for dogs, PHILLY SWIRL cups and sticks, ICEE Squeeze-Up Tubes and handheld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sell frozen beverages to the foodservice industry primarily under the names ICEE, SLUSH PUPPIE and PARROT ICE in the United States, Mexico and Canada. We also provide repair and maintenance services to customers for customer-owned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principally sell our products to the food service and retail supermarket industries. Sales and results of our frozen beverages business are monitored separately from the balance of our food service business because of different distribution and capital requirements. We maintain separate and discrete financial information for the three operating segments mentioned above which is available to our Chief Operating Decision Maker, who is our Chief Executive Officer. We have applied no aggregation criteria to any of these operating segments in order to determine reportable segments. All inter-segment net sales and expenses have been eliminated in computing net sales and operating income.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Chief Operating Decision Maker reviews monthly detailed operating income statements and sales reports in order to assess performance and allocate resources to each individual segment. Sales and operating income are key variables monitored by the Chief Operating Decision Maker when determining each segment and the company’s financial condition and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Significant expenses are expenses which are regularly provided to the Chief Operating Decision Maker and are included in segment operating income. These consist of cost of sales, marketing and selling expenses, distribution expenses, administrative expenses, intangible asset impairment charges, and other general expenses. Cost of sales includes raw materials, direct labor and plant overhead costs. Distribution expenses include costs associated with the transportation of our product to customers. Marketing and selling expenses include costs to execute sales to customers, and costs related to the selling, marketing, advertising and promotional activities. Administrative expenses include costs that are not directly tied to the manufacturing, distribution, or marketing and selling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Costs that are directly attributable to our Food Service, Retail Supermarkets, or Frozen Beverages segments are charged directly to the appropriate segment. Costs that are deemed to be indirect, excluding unallocated corporate expenses and other unusual significant transactions such as gain on insurance proceeds received for damage to property, plant and equipment, and plant closure expenses, are allocated to the three reportable segments using a reasonable methodology that is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 align with how our Chief Operating Decision Maker currently reviews the monthly detailed operating income statements, we have reclassified certain corporate expenses that are not allocated to our three reportable segments.  This change in presentation resulted in an increase to our Food Service segment operating income of $7.1 million, to our Retail segment operating income of $0.8 million, and to our Frozen Beverages segment of $0.5 million in the three months ended December 28, 2024, respectively, with the corresponding impacts of the presentation change seen within General corporate expenses in the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addition, the Chief Operating Decision Maker reviews and evaluates capital spending of each segment on a quarterly basis to monitor cash flow and asset needs of each segment. Additionally, our Chief Operating Decision Maker considers variances of actual performance to our annual operating plan and periodic forecasts when making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Information regarding the operations in these three reportable segments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15"/>
        <w:gridCol w:w="60"/>
        <w:gridCol w:w="125"/>
        <w:gridCol w:w="695"/>
        <w:gridCol w:w="60"/>
        <w:gridCol w:w="60"/>
        <w:gridCol w:w="197"/>
        <w:gridCol w:w="933"/>
        <w:gridCol w:w="60"/>
        <w:gridCol w:w="60"/>
        <w:gridCol w:w="158"/>
        <w:gridCol w:w="747"/>
        <w:gridCol w:w="60"/>
        <w:gridCol w:w="60"/>
        <w:gridCol w:w="125"/>
        <w:gridCol w:w="695"/>
        <w:gridCol w:w="95"/>
      </w:tblGrid>
      <w:tr>
        <w:trPr/>
        <w:tc>
          <w:tcPr>
            <w:tcW w:w="6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December 27, 2025</w:t>
            </w:r>
          </w:p>
        </w:tc>
        <w:tc>
          <w:tcPr>
            <w:tcW w:w="95" w:type="dxa"/>
            <w:tcBorders/>
            <w:vAlign w:val="center"/>
          </w:tcPr>
          <w:p>
            <w:pPr>
              <w:pStyle w:val="TableContents"/>
              <w:bidi w:val="0"/>
              <w:spacing w:before="0" w:after="283"/>
              <w:jc w:val="left"/>
              <w:rPr/>
            </w:pPr>
            <w:r>
              <w:rPr/>
              <w:t> </w:t>
            </w:r>
          </w:p>
        </w:tc>
      </w:tr>
      <w:tr>
        <w:trPr/>
        <w:tc>
          <w:tcPr>
            <w:tcW w:w="6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35"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95" w:type="dxa"/>
            <w:tcBorders/>
            <w:vAlign w:val="center"/>
          </w:tcPr>
          <w:p>
            <w:pPr>
              <w:pStyle w:val="TableContents"/>
              <w:bidi w:val="0"/>
              <w:spacing w:before="0" w:after="283"/>
              <w:jc w:val="left"/>
              <w:rPr/>
            </w:pPr>
            <w:r>
              <w:rPr/>
              <w:t> </w:t>
            </w:r>
          </w:p>
        </w:tc>
      </w:tr>
      <w:tr>
        <w:trPr/>
        <w:tc>
          <w:tcPr>
            <w:tcW w:w="6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6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95" w:type="dxa"/>
            <w:tcBorders/>
            <w:vAlign w:val="center"/>
          </w:tcPr>
          <w:p>
            <w:pPr>
              <w:pStyle w:val="TableContents"/>
              <w:bidi w:val="0"/>
              <w:spacing w:before="0" w:after="283"/>
              <w:jc w:val="left"/>
              <w:rPr/>
            </w:pPr>
            <w:r>
              <w:rPr/>
              <w:t> </w:t>
            </w:r>
          </w:p>
        </w:tc>
      </w:tr>
      <w:tr>
        <w:trPr/>
        <w:tc>
          <w:tcPr>
            <w:tcW w:w="6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343,778</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247,766</w:t>
            </w:r>
          </w:p>
        </w:tc>
        <w:tc>
          <w:tcPr>
            <w:tcW w:w="95" w:type="dxa"/>
            <w:tcBorders/>
            <w:shd w:fill="FFFFFF" w:val="clear"/>
            <w:vAlign w:val="center"/>
          </w:tcPr>
          <w:p>
            <w:pPr>
              <w:pStyle w:val="TableContents"/>
              <w:bidi w:val="0"/>
              <w:spacing w:before="0" w:after="283"/>
              <w:jc w:val="left"/>
              <w:rPr/>
            </w:pPr>
            <w:r>
              <w:rPr/>
              <w:t> </w:t>
            </w:r>
          </w:p>
        </w:tc>
      </w:tr>
      <w:tr>
        <w:trPr/>
        <w:tc>
          <w:tcPr>
            <w:tcW w:w="60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96,012</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31,499</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38,056</w:t>
            </w:r>
          </w:p>
        </w:tc>
        <w:tc>
          <w:tcPr>
            <w:tcW w:w="95" w:type="dxa"/>
            <w:tcBorders/>
            <w:shd w:fill="FFFFFF" w:val="clear"/>
            <w:vAlign w:val="center"/>
          </w:tcPr>
          <w:p>
            <w:pPr>
              <w:pStyle w:val="TableContents"/>
              <w:bidi w:val="0"/>
              <w:spacing w:before="0" w:after="283"/>
              <w:jc w:val="left"/>
              <w:rPr/>
            </w:pPr>
            <w:r>
              <w:rPr/>
              <w:t> </w:t>
            </w:r>
          </w:p>
        </w:tc>
      </w:tr>
      <w:tr>
        <w:trPr/>
        <w:tc>
          <w:tcPr>
            <w:tcW w:w="60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11,019</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95" w:type="dxa"/>
            <w:tcBorders/>
            <w:shd w:fill="FFFFFF" w:val="clear"/>
            <w:vAlign w:val="center"/>
          </w:tcPr>
          <w:p>
            <w:pPr>
              <w:pStyle w:val="TableContents"/>
              <w:bidi w:val="0"/>
              <w:spacing w:before="0" w:after="283"/>
              <w:jc w:val="left"/>
              <w:rPr/>
            </w:pPr>
            <w:r>
              <w:rPr/>
              <w:t> </w:t>
            </w:r>
          </w:p>
        </w:tc>
      </w:tr>
      <w:tr>
        <w:trPr/>
        <w:tc>
          <w:tcPr>
            <w:tcW w:w="60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15,308</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9,358</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95" w:type="dxa"/>
            <w:tcBorders/>
            <w:shd w:fill="CCEEFF" w:val="clear"/>
            <w:vAlign w:val="center"/>
          </w:tcPr>
          <w:p>
            <w:pPr>
              <w:pStyle w:val="TableContents"/>
              <w:bidi w:val="0"/>
              <w:spacing w:before="0" w:after="283"/>
              <w:jc w:val="left"/>
              <w:rPr/>
            </w:pPr>
            <w:r>
              <w:rPr/>
              <w:t> </w:t>
            </w:r>
          </w:p>
        </w:tc>
      </w:tr>
      <w:tr>
        <w:trPr/>
        <w:tc>
          <w:tcPr>
            <w:tcW w:w="60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695" w:type="dxa"/>
        <w:jc w:val="left"/>
        <w:tblInd w:w="0" w:type="dxa"/>
        <w:tblLayout w:type="fixed"/>
        <w:tblCellMar>
          <w:top w:w="0" w:type="dxa"/>
          <w:left w:w="0" w:type="dxa"/>
          <w:bottom w:w="0" w:type="dxa"/>
          <w:right w:w="0" w:type="dxa"/>
        </w:tblCellMar>
      </w:tblPr>
      <w:tblGrid>
        <w:gridCol w:w="2525"/>
        <w:gridCol w:w="60"/>
        <w:gridCol w:w="125"/>
        <w:gridCol w:w="695"/>
        <w:gridCol w:w="60"/>
        <w:gridCol w:w="60"/>
        <w:gridCol w:w="197"/>
        <w:gridCol w:w="933"/>
        <w:gridCol w:w="60"/>
        <w:gridCol w:w="60"/>
        <w:gridCol w:w="158"/>
        <w:gridCol w:w="747"/>
        <w:gridCol w:w="60"/>
        <w:gridCol w:w="60"/>
        <w:gridCol w:w="125"/>
        <w:gridCol w:w="695"/>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December 28, 2024</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035"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Food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Frozen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Service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Supermarket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Beverages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362,598</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268,697</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93,901</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28,669</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10,446</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operating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14,696</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Net sales to external customers by type of good or service were:</w:t>
      </w:r>
    </w:p>
    <w:p>
      <w:pPr>
        <w:pStyle w:val="TextBody"/>
        <w:bidi w:val="0"/>
        <w:spacing w:before="0" w:after="0"/>
        <w:ind w:left="0" w:right="0" w:hanging="0"/>
        <w:jc w:val="left"/>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4010"/>
        <w:gridCol w:w="60"/>
        <w:gridCol w:w="178"/>
        <w:gridCol w:w="996"/>
        <w:gridCol w:w="60"/>
        <w:gridCol w:w="60"/>
        <w:gridCol w:w="178"/>
        <w:gridCol w:w="996"/>
        <w:gridCol w:w="60"/>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6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sales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238,883</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44,654</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Product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328,254</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repair and maintenance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23,639</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Repair and maintenance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23,639</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machines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10,047</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Machine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10,047</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other</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60"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362,598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Total depreciation and amortization expense, capital expenditures, and total assets by segment, reflecting our current segment structure for all periods presented, were:</w:t>
      </w:r>
    </w:p>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2945"/>
        <w:gridCol w:w="60"/>
        <w:gridCol w:w="204"/>
        <w:gridCol w:w="970"/>
        <w:gridCol w:w="66"/>
        <w:gridCol w:w="66"/>
        <w:gridCol w:w="204"/>
        <w:gridCol w:w="970"/>
        <w:gridCol w:w="60"/>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11,560</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5,513</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depreciation and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18,684</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17,744</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12,534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12,545</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6,433</w:t>
            </w:r>
          </w:p>
        </w:tc>
        <w:tc>
          <w:tcPr>
            <w:tcW w:w="6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6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capital expenditures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4213" w:type="dxa"/>
        <w:jc w:val="left"/>
        <w:tblInd w:w="0" w:type="dxa"/>
        <w:tblLayout w:type="fixed"/>
        <w:tblCellMar>
          <w:top w:w="0" w:type="dxa"/>
          <w:left w:w="0" w:type="dxa"/>
          <w:bottom w:w="0" w:type="dxa"/>
          <w:right w:w="0" w:type="dxa"/>
        </w:tblCellMar>
      </w:tblPr>
      <w:tblGrid>
        <w:gridCol w:w="1580"/>
        <w:gridCol w:w="60"/>
        <w:gridCol w:w="151"/>
        <w:gridCol w:w="1023"/>
        <w:gridCol w:w="60"/>
        <w:gridCol w:w="60"/>
        <w:gridCol w:w="157"/>
        <w:gridCol w:w="1062"/>
        <w:gridCol w:w="60"/>
      </w:tblGrid>
      <w:tr>
        <w:trPr/>
        <w:tc>
          <w:tcPr>
            <w:tcW w:w="158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905,571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961,092</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0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30,327</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364,473</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25,609</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Geographic data for net sales (recognized in the countries where products were sold from) and total assets were:</w:t>
      </w:r>
    </w:p>
    <w:p>
      <w:pPr>
        <w:pStyle w:val="TextBody"/>
        <w:bidi w:val="0"/>
        <w:spacing w:before="0" w:after="0"/>
        <w:ind w:left="0" w:right="0" w:hanging="0"/>
        <w:jc w:val="left"/>
        <w:rPr>
          <w:caps w:val="false"/>
          <w:smallCaps w:val="false"/>
        </w:rPr>
      </w:pPr>
      <w:r>
        <w:rPr>
          <w:caps w:val="false"/>
          <w:smallCaps w:val="false"/>
        </w:rPr>
        <w:t> </w:t>
      </w:r>
    </w:p>
    <w:tbl>
      <w:tblPr>
        <w:tblW w:w="5548" w:type="dxa"/>
        <w:jc w:val="left"/>
        <w:tblInd w:w="0" w:type="dxa"/>
        <w:tblLayout w:type="fixed"/>
        <w:tblCellMar>
          <w:top w:w="0" w:type="dxa"/>
          <w:left w:w="0" w:type="dxa"/>
          <w:bottom w:w="0" w:type="dxa"/>
          <w:right w:w="0" w:type="dxa"/>
        </w:tblCellMar>
      </w:tblPr>
      <w:tblGrid>
        <w:gridCol w:w="2960"/>
        <w:gridCol w:w="60"/>
        <w:gridCol w:w="178"/>
        <w:gridCol w:w="996"/>
        <w:gridCol w:w="60"/>
        <w:gridCol w:w="60"/>
        <w:gridCol w:w="178"/>
        <w:gridCol w:w="996"/>
        <w:gridCol w:w="6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 to external customers: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327,621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348,099</w:t>
            </w:r>
          </w:p>
        </w:tc>
        <w:tc>
          <w:tcPr>
            <w:tcW w:w="6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w:t>
            </w:r>
          </w:p>
        </w:tc>
        <w:tc>
          <w:tcPr>
            <w:tcW w:w="6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 to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362,598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733" w:type="dxa"/>
        <w:jc w:val="left"/>
        <w:tblInd w:w="0" w:type="dxa"/>
        <w:tblLayout w:type="fixed"/>
        <w:tblCellMar>
          <w:top w:w="0" w:type="dxa"/>
          <w:left w:w="0" w:type="dxa"/>
          <w:bottom w:w="0" w:type="dxa"/>
          <w:right w:w="0" w:type="dxa"/>
        </w:tblCellMar>
      </w:tblPr>
      <w:tblGrid>
        <w:gridCol w:w="1100"/>
        <w:gridCol w:w="60"/>
        <w:gridCol w:w="151"/>
        <w:gridCol w:w="1023"/>
        <w:gridCol w:w="60"/>
        <w:gridCol w:w="60"/>
        <w:gridCol w:w="157"/>
        <w:gridCol w:w="1062"/>
        <w:gridCol w:w="60"/>
      </w:tblGrid>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1,302,387</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79,114</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1,313,274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1,381,501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295" w:type="dxa"/>
        <w:jc w:val="left"/>
        <w:tblInd w:w="0" w:type="dxa"/>
        <w:tblLayout w:type="fixed"/>
        <w:tblCellMar>
          <w:top w:w="0" w:type="dxa"/>
          <w:left w:w="0" w:type="dxa"/>
          <w:bottom w:w="0" w:type="dxa"/>
          <w:right w:w="0" w:type="dxa"/>
        </w:tblCellMar>
      </w:tblPr>
      <w:tblGrid>
        <w:gridCol w:w="665"/>
        <w:gridCol w:w="263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11</w:t>
            </w:r>
          </w:p>
        </w:tc>
        <w:tc>
          <w:tcPr>
            <w:tcW w:w="26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Goodwill and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Our reportable segments are Food Service, Retail Supermarkets and Frozen Beverages.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acquired intangible assets for the Food Service, Retail Supermarkets and Frozen Beverages segments as of December 27, 2025 and September 27, 2025 are as follows:</w:t>
      </w:r>
    </w:p>
    <w:p>
      <w:pPr>
        <w:pStyle w:val="TextBody"/>
        <w:bidi w:val="0"/>
        <w:spacing w:before="0" w:after="0"/>
        <w:ind w:left="0" w:right="0" w:firstLine="180"/>
        <w:jc w:val="left"/>
        <w:rPr>
          <w:caps w:val="false"/>
          <w:smallCaps w:val="false"/>
        </w:rPr>
      </w:pPr>
      <w:r>
        <w:rPr>
          <w:caps w:val="false"/>
          <w:smallCaps w:val="false"/>
        </w:rPr>
        <w:t> </w:t>
      </w:r>
    </w:p>
    <w:tbl>
      <w:tblPr>
        <w:tblW w:w="7446" w:type="dxa"/>
        <w:jc w:val="left"/>
        <w:tblInd w:w="0" w:type="dxa"/>
        <w:tblLayout w:type="fixed"/>
        <w:tblCellMar>
          <w:top w:w="0" w:type="dxa"/>
          <w:left w:w="0" w:type="dxa"/>
          <w:bottom w:w="0" w:type="dxa"/>
          <w:right w:w="0" w:type="dxa"/>
        </w:tblCellMar>
      </w:tblPr>
      <w:tblGrid>
        <w:gridCol w:w="2975"/>
        <w:gridCol w:w="60"/>
        <w:gridCol w:w="125"/>
        <w:gridCol w:w="695"/>
        <w:gridCol w:w="60"/>
        <w:gridCol w:w="60"/>
        <w:gridCol w:w="202"/>
        <w:gridCol w:w="958"/>
        <w:gridCol w:w="60"/>
        <w:gridCol w:w="60"/>
        <w:gridCol w:w="127"/>
        <w:gridCol w:w="707"/>
        <w:gridCol w:w="61"/>
        <w:gridCol w:w="61"/>
        <w:gridCol w:w="202"/>
        <w:gridCol w:w="958"/>
        <w:gridCol w:w="75"/>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0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27,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1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 2025</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Carrying</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Amortization</w:t>
            </w:r>
          </w:p>
        </w:tc>
        <w:tc>
          <w:tcPr>
            <w:tcW w:w="7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6" w:type="dxa"/>
            <w:gridSpan w:val="14"/>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7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85,424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Franchise agreements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14,749</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23,110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7,493</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1,734</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144,789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29,254</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RETAIL SUPERMARKETS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 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9,315</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Licenses and rights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48,254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204,224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Amortizing intangible assets are being amortized by the straight-line method over periods ranging from 10 to 20 years and amortization expense is reflected throughout operating expenses. Aggregate amortization expense of intangible assets for the three months ended December 27, 2025 and December 28, 2024 was $1.4 million and $1.9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Estimated amortization expense for the next five fiscal years is approximately $4.2 million in 2026 (excluding the three months ended December 27, 2025), $4.7 million in 2027, $4.3 million in 2028 and 2029, and $4.2 million in 2030.</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weighted amortization period of the intangible assets, in total, is 10.0 years. The weighted amortization period by intangible asset class is 10 years for Technology, 10 years for Customer relationships, 20 years for Licenses &amp; rights, and 10 years for Franchise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carrying amounts of goodwill for the reportable segments are as follows:</w:t>
      </w:r>
    </w:p>
    <w:p>
      <w:pPr>
        <w:pStyle w:val="TextBody"/>
        <w:bidi w:val="0"/>
        <w:spacing w:before="0" w:after="0"/>
        <w:ind w:left="0" w:right="0" w:hanging="0"/>
        <w:jc w:val="left"/>
        <w:rPr>
          <w:caps w:val="false"/>
          <w:smallCaps w:val="false"/>
        </w:rPr>
      </w:pPr>
      <w:r>
        <w:rPr>
          <w:caps w:val="false"/>
          <w:smallCaps w:val="false"/>
        </w:rPr>
        <w:t> </w:t>
      </w:r>
    </w:p>
    <w:tbl>
      <w:tblPr>
        <w:tblW w:w="4213" w:type="dxa"/>
        <w:jc w:val="left"/>
        <w:tblInd w:w="0" w:type="dxa"/>
        <w:tblLayout w:type="fixed"/>
        <w:tblCellMar>
          <w:top w:w="0" w:type="dxa"/>
          <w:left w:w="0" w:type="dxa"/>
          <w:bottom w:w="0" w:type="dxa"/>
          <w:right w:w="0" w:type="dxa"/>
        </w:tblCellMar>
      </w:tblPr>
      <w:tblGrid>
        <w:gridCol w:w="1580"/>
        <w:gridCol w:w="60"/>
        <w:gridCol w:w="178"/>
        <w:gridCol w:w="996"/>
        <w:gridCol w:w="60"/>
        <w:gridCol w:w="60"/>
        <w:gridCol w:w="185"/>
        <w:gridCol w:w="1034"/>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3"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124,426</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4,146</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56,498</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goodwill</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3460" w:type="dxa"/>
        <w:jc w:val="left"/>
        <w:tblInd w:w="0" w:type="dxa"/>
        <w:tblLayout w:type="fixed"/>
        <w:tblCellMar>
          <w:top w:w="0" w:type="dxa"/>
          <w:left w:w="0" w:type="dxa"/>
          <w:bottom w:w="0" w:type="dxa"/>
          <w:right w:w="0" w:type="dxa"/>
        </w:tblCellMar>
      </w:tblPr>
      <w:tblGrid>
        <w:gridCol w:w="665"/>
        <w:gridCol w:w="279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12</w:t>
            </w:r>
          </w:p>
        </w:tc>
        <w:tc>
          <w:tcPr>
            <w:tcW w:w="27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are a party to litigation which has arisen in the normal course of business which management currently believes will not have a material adverse effect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self-insure, up to loss limits, certain insurable risks such as workers’ compensation, automobile, and general liability claims. Accruals for claims under our self-insurance program are recorded on a claims incurred basis. Our total recorded liability for all years’ claims incurred but not yet paid was $14.7 million and $14.4 million at December 27, 2025 and September 27, 2025, respectively. In connection with certain self-insurance agreements, we customarily enter into letters of credit arrangements with our insurers. At both December 27, 2025, and September 27, 2025, we had outstanding letters of credit totaling $14.8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a self-insured medical plan which covers approximately 1,800 of our employees. We record a liability for incurred but not yet reported or paid claims based on our historical experience of claims payments and a calculated lag time. Our recorded liability at December 27, 2025 and September 27, 2025 was $2.0 million and $2.2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August 19, 2024, we experienced a fire at our Holly Ridge plant in North Carolina. The building was damaged as a result of the fire, and plant operations were interrupted. We maintain property, general liability and business interruption insurance coverage. Based on the provisions of our insurance policies, we record estimated insurance recoveries for fire related costs for which recovery is deemed to be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months ended December 27, 2025, we recorded $0.3 million of fire related costs, for all of which recovery was deemed to be probable, and we received $1.5 million of insurance proceeds for inventory, fixed asset replacement costs, and business interruption losses. Additionally, in the three months ended December 27, 2025, we recognized a gain of $0.8 million for insurance proceeds received for damage to property, plant, and equipment in the Consolidated Statement of Earnings, and we recognized a gain of $2.0 million for the proceeds received, and expected to be received, in excess of operational losses recognized, in cost of goods sold, in the Consolidated Statement of Earnings. As of December 27, 2025, $1.6 million of these insurance proceeds were expected to be received, and was recorded in prepaid expenses and other, in the Consolidated Balance Sheet as of December 27, 2025. The $1.6 million insurance proceeds were subsequently received in early January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months ended December 28, 2024, we recorded $8.3 million of fire related costs, for all of which recovery was deemed to be probable and we received $1.0 million of insurance proceeds, respectively, for inventory and business interruption losses. Additionally, in the three months ended December 28, 2024, we recognized a gain of $0.5 million in cost of goods sold in the Consolidated Statement of Earnings representing the proceeds received in excess of losses recognized and we recorded an insurance receivable, net of advance proceeds received, for other fire related costs for which recovery was deemed probable of $9.7 million, which was recorded in prepaid expenses and other, on the Consolidated Balance Sheet as of December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Cumulative fire related costs recorded through December 27, 2025 were $17.5 million, for all of which recovery has either been received, or was deemed to be probable. Cumulative Insurance proceeds received as of December 27, 2025 were $33.1 million for inventory, fixed asset replacement costs, and business interruption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See below for a roll forward of the insurance receivable, net of advance proceeds received for other fire related costs for which recovery was deemed probable in the Consolidated Balance Sheet for the three months ended December 27, 2025 and December 28,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15"/>
        <w:gridCol w:w="60"/>
        <w:gridCol w:w="211"/>
        <w:gridCol w:w="925"/>
        <w:gridCol w:w="91"/>
        <w:gridCol w:w="68"/>
        <w:gridCol w:w="211"/>
        <w:gridCol w:w="925"/>
        <w:gridCol w:w="99"/>
      </w:tblGrid>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99"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13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99"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1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9" w:type="dxa"/>
            <w:tcBorders/>
            <w:vAlign w:val="center"/>
          </w:tcPr>
          <w:p>
            <w:pPr>
              <w:pStyle w:val="TableContents"/>
              <w:bidi w:val="0"/>
              <w:spacing w:before="0" w:after="283"/>
              <w:jc w:val="left"/>
              <w:rPr/>
            </w:pPr>
            <w:r>
              <w:rPr/>
              <w:t> </w:t>
            </w:r>
          </w:p>
        </w:tc>
      </w:tr>
      <w:tr>
        <w:trPr/>
        <w:tc>
          <w:tcPr>
            <w:tcW w:w="7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1"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99" w:type="dxa"/>
            <w:tcBorders/>
            <w:vAlign w:val="center"/>
          </w:tcPr>
          <w:p>
            <w:pPr>
              <w:pStyle w:val="TableContents"/>
              <w:bidi w:val="0"/>
              <w:spacing w:before="0" w:after="283"/>
              <w:jc w:val="left"/>
              <w:rPr/>
            </w:pPr>
            <w:r>
              <w:rPr/>
              <w:t> </w:t>
            </w:r>
          </w:p>
        </w:tc>
      </w:tr>
      <w:tr>
        <w:trPr/>
        <w:tc>
          <w:tcPr>
            <w:tcW w:w="76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Insurance receivable, net of advance proceeds received for other fire related costs</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925"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1,790</w:t>
            </w:r>
          </w:p>
        </w:tc>
        <w:tc>
          <w:tcPr>
            <w:tcW w:w="99" w:type="dxa"/>
            <w:tcBorders/>
            <w:shd w:fill="CCEEFF" w:val="clear"/>
            <w:vAlign w:val="center"/>
          </w:tcPr>
          <w:p>
            <w:pPr>
              <w:pStyle w:val="TableContents"/>
              <w:bidi w:val="0"/>
              <w:spacing w:before="0" w:after="283"/>
              <w:jc w:val="left"/>
              <w:rPr/>
            </w:pPr>
            <w:r>
              <w:rPr/>
              <w:t> </w:t>
            </w:r>
          </w:p>
        </w:tc>
      </w:tr>
      <w:tr>
        <w:trPr/>
        <w:tc>
          <w:tcPr>
            <w:tcW w:w="76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Fire related costs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8,337</w:t>
            </w:r>
          </w:p>
        </w:tc>
        <w:tc>
          <w:tcPr>
            <w:tcW w:w="99" w:type="dxa"/>
            <w:tcBorders/>
            <w:shd w:fill="FFFFFF" w:val="clear"/>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Insurance proceeds for inventory, fixed asset losses, and other fire related costs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ind w:left="0" w:right="0" w:hanging="0"/>
              <w:jc w:val="left"/>
              <w:rPr/>
            </w:pPr>
            <w:r>
              <w:rPr/>
              <w:t> </w:t>
            </w:r>
          </w:p>
        </w:tc>
        <w:tc>
          <w:tcPr>
            <w:tcW w:w="9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9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6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ind w:left="0" w:right="0" w:hanging="0"/>
              <w:jc w:val="left"/>
              <w:rPr/>
            </w:pPr>
            <w:r>
              <w:rPr/>
              <w:t> </w:t>
            </w:r>
          </w:p>
        </w:tc>
        <w:tc>
          <w:tcPr>
            <w:tcW w:w="9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r>
      <w:tr>
        <w:trPr/>
        <w:tc>
          <w:tcPr>
            <w:tcW w:w="76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or expected to be received, in excess of operating losses recognized</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99" w:type="dxa"/>
            <w:tcBorders/>
            <w:shd w:fill="CCEEFF" w:val="clear"/>
            <w:vAlign w:val="center"/>
          </w:tcPr>
          <w:p>
            <w:pPr>
              <w:pStyle w:val="TableContents"/>
              <w:bidi w:val="0"/>
              <w:spacing w:before="0" w:after="283"/>
              <w:jc w:val="left"/>
              <w:rPr/>
            </w:pPr>
            <w:r>
              <w:rPr/>
              <w:t> </w:t>
            </w:r>
          </w:p>
        </w:tc>
      </w:tr>
      <w:tr>
        <w:trPr/>
        <w:tc>
          <w:tcPr>
            <w:tcW w:w="7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9,651</w:t>
            </w:r>
          </w:p>
        </w:tc>
        <w:tc>
          <w:tcPr>
            <w:tcW w:w="9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665"/>
        <w:gridCol w:w="426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13</w:t>
            </w:r>
          </w:p>
        </w:tc>
        <w:tc>
          <w:tcPr>
            <w:tcW w:w="42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Income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Changes to the components of accumulated other comprehensive loss are as follows:</w:t>
      </w:r>
    </w:p>
    <w:p>
      <w:pPr>
        <w:pStyle w:val="TextBody"/>
        <w:bidi w:val="0"/>
        <w:spacing w:before="0" w:after="0"/>
        <w:ind w:left="0" w:right="0" w:firstLine="180"/>
        <w:jc w:val="left"/>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4160"/>
        <w:gridCol w:w="60"/>
        <w:gridCol w:w="189"/>
        <w:gridCol w:w="985"/>
        <w:gridCol w:w="81"/>
        <w:gridCol w:w="61"/>
        <w:gridCol w:w="189"/>
        <w:gridCol w:w="985"/>
        <w:gridCol w:w="95"/>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9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9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95"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95" w:type="dxa"/>
            <w:tcBorders/>
            <w:vAlign w:val="center"/>
          </w:tcPr>
          <w:p>
            <w:pPr>
              <w:pStyle w:val="TableContents"/>
              <w:bidi w:val="0"/>
              <w:spacing w:before="0" w:after="283"/>
              <w:jc w:val="left"/>
              <w:rPr/>
            </w:pPr>
            <w:r>
              <w:rPr/>
              <w:t> </w:t>
            </w:r>
          </w:p>
        </w:tc>
      </w:tr>
      <w:tr>
        <w:trPr/>
        <w:tc>
          <w:tcPr>
            <w:tcW w:w="41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Foreign currency translation adjustments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98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 gain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1,694</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(17,876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665"/>
        <w:gridCol w:w="59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14</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General Lease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operating leases with initial noncancelable lease terms in excess of one year covering the rental of various facilities and equipment. Certain of these leases contain renewal options and some provide options to purchase during the lease term. Our operating leases include leases for real estate from some of our office, warehouse, and manufacturing facilities as well as manufacturing and non-manufacturing equipment used in our business. The remaining lease terms for these operating leases range from 1 month to 18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finance leases with initial non-cancelable lease terms in excess of one year covering the rental of various equipment. These leases are generally for manufacturing and non-manufacturing equipment used in our business. The remaining lease terms for these finance leases range from 1 year to 6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u w:val="single"/>
        </w:rPr>
        <w:t>Significant Assumptions and Judgments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Contract Contains a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evaluating our contracts to determine whether a contract is or contains a lease, we considered the following:                                                      </w:t>
      </w:r>
    </w:p>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10"/>
        <w:gridCol w:w="726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72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explicitly or implicitly identified assets have been deployed in the contract;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Whether we obtain substantially all of the economic benefits from the use of that underlying asset, and we can direct how and for what purpose the asset is used during the term of the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Allocation of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determining how to allocate consideration between lease and non-lease components in a contract that was deemed to contain a lease, we used judgment and consistent application of assumptions to reasonably allocate the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Options to Extend or Terminate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leases which contain options to extend or terminate the leases. On a lease-by-lease basis, we have determined if the extension should be considered reasonably certain to be exercised and thus a right-of-use asset and a lease liability should be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i/>
          <w:caps w:val="false"/>
          <w:smallCaps w:val="false"/>
          <w:sz w:val="20"/>
        </w:rPr>
      </w:pPr>
      <w:r>
        <w:rPr>
          <w:rFonts w:ascii="Times New Roman" w:hAnsi="Times New Roman"/>
          <w:i/>
          <w:caps w:val="false"/>
          <w:smallCaps w:val="false"/>
          <w:sz w:val="20"/>
        </w:rPr>
        <w:t>Discount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discount rate for leases, if not explicitly stated in the lease, is the incremental borrowing rate, which is the rate of interest that we would have to pay to borrow on a collateralized basis over a similar term an amount equal to the lease payments in a similar economic environment.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used the discount rate to calculate the present value of the lease liability at the date of adoption. In the development of the discount rate, we considered our incremental borrowing rate as provided by our lender which was based on cash collateral and credit risk specific to us, and our lease portfolio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December 27, 2025, the weighted-average discount rate of our operating and finance leases was 5.3% and 4.1%, respectively. As of September 27, 2025, the weighted-average discount rate of our operating and finance leases was 5.2% and 4.1%,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Practical Expedients and Accounting Policy Elections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elected the package of practical expedients that permits us not to reassess our prior conclusions about lease identification, lease classification and initial direct costs and made an accounting policy election to exclude short-term leases with an initial term of 12 months or less from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Amounts Recognized in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0" w:right="0" w:hanging="0"/>
        <w:jc w:val="left"/>
        <w:rPr>
          <w:caps w:val="false"/>
          <w:smallCaps w:val="false"/>
        </w:rPr>
      </w:pPr>
      <w:r>
        <w:rPr>
          <w:caps w:val="false"/>
          <w:smallCaps w:val="false"/>
        </w:rPr>
        <w:t> </w:t>
      </w:r>
    </w:p>
    <w:tbl>
      <w:tblPr>
        <w:tblW w:w="8342" w:type="dxa"/>
        <w:jc w:val="left"/>
        <w:tblInd w:w="0" w:type="dxa"/>
        <w:tblLayout w:type="fixed"/>
        <w:tblCellMar>
          <w:top w:w="0" w:type="dxa"/>
          <w:left w:w="0" w:type="dxa"/>
          <w:bottom w:w="0" w:type="dxa"/>
          <w:right w:w="0" w:type="dxa"/>
        </w:tblCellMar>
      </w:tblPr>
      <w:tblGrid>
        <w:gridCol w:w="5615"/>
        <w:gridCol w:w="60"/>
        <w:gridCol w:w="249"/>
        <w:gridCol w:w="970"/>
        <w:gridCol w:w="77"/>
        <w:gridCol w:w="77"/>
        <w:gridCol w:w="249"/>
        <w:gridCol w:w="970"/>
        <w:gridCol w:w="75"/>
      </w:tblGrid>
      <w:tr>
        <w:trPr/>
        <w:tc>
          <w:tcPr>
            <w:tcW w:w="5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56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27,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28,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ind w:left="0" w:right="0" w:hanging="0"/>
              <w:jc w:val="left"/>
              <w:rPr/>
            </w:pPr>
            <w:r>
              <w:rPr/>
              <w:t> </w:t>
            </w:r>
          </w:p>
        </w:tc>
      </w:tr>
      <w:tr>
        <w:trPr/>
        <w:tc>
          <w:tcPr>
            <w:tcW w:w="56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7,627</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cost: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360" w:right="0" w:hanging="0"/>
              <w:jc w:val="left"/>
              <w:rPr/>
            </w:pPr>
            <w:r>
              <w:rPr/>
              <w:t> </w:t>
            </w:r>
          </w:p>
        </w:tc>
      </w:tr>
      <w:tr>
        <w:trPr/>
        <w:tc>
          <w:tcPr>
            <w:tcW w:w="561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assets in Cost of goods sold and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75" w:type="dxa"/>
            <w:tcBorders/>
            <w:shd w:fill="CCEEFF" w:val="clear"/>
            <w:vAlign w:val="center"/>
          </w:tcPr>
          <w:p>
            <w:pPr>
              <w:pStyle w:val="TableContents"/>
              <w:bidi w:val="0"/>
              <w:spacing w:before="0" w:after="283"/>
              <w:ind w:left="360" w:right="0" w:hanging="0"/>
              <w:jc w:val="left"/>
              <w:rPr/>
            </w:pPr>
            <w:r>
              <w:rPr/>
              <w:t> </w:t>
            </w:r>
          </w:p>
        </w:tc>
      </w:tr>
      <w:tr>
        <w:trPr/>
        <w:tc>
          <w:tcPr>
            <w:tcW w:w="561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 in Interest expense &amp; other</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75" w:type="dxa"/>
            <w:tcBorders/>
            <w:shd w:fill="FFFFFF" w:val="clear"/>
            <w:vAlign w:val="center"/>
          </w:tcPr>
          <w:p>
            <w:pPr>
              <w:pStyle w:val="TableContents"/>
              <w:bidi w:val="0"/>
              <w:spacing w:before="0" w:after="283"/>
              <w:ind w:left="720" w:right="0" w:hanging="0"/>
              <w:jc w:val="left"/>
              <w:rPr/>
            </w:pPr>
            <w:r>
              <w:rPr/>
              <w:t> </w:t>
            </w:r>
          </w:p>
        </w:tc>
      </w:tr>
      <w:tr>
        <w:trPr/>
        <w:tc>
          <w:tcPr>
            <w:tcW w:w="5615"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6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 in Cost of goods sold and Operating Expenses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1080" w:right="0" w:hanging="0"/>
              <w:jc w:val="left"/>
              <w:rPr/>
            </w:pPr>
            <w:r>
              <w:rPr/>
              <w:t> </w:t>
            </w:r>
          </w:p>
        </w:tc>
      </w:tr>
      <w:tr>
        <w:trPr/>
        <w:tc>
          <w:tcPr>
            <w:tcW w:w="5615" w:type="dxa"/>
            <w:tcBorders/>
            <w:shd w:fill="CCEEFF" w:val="clear"/>
            <w:vAlign w:val="center"/>
          </w:tcPr>
          <w:p>
            <w:pPr>
              <w:pStyle w:val="TableContents"/>
              <w:bidi w:val="0"/>
              <w:spacing w:before="0" w:after="0"/>
              <w:ind w:left="21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8,214</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Supplemental balance sheet information related to leases is as follows:</w:t>
      </w:r>
    </w:p>
    <w:p>
      <w:pPr>
        <w:pStyle w:val="TextBody"/>
        <w:bidi w:val="0"/>
        <w:spacing w:before="0" w:after="0"/>
        <w:ind w:left="0" w:right="0" w:hanging="0"/>
        <w:jc w:val="left"/>
        <w:rPr/>
      </w:pPr>
      <w:r>
        <w:rPr/>
        <w:t> </w:t>
      </w:r>
    </w:p>
    <w:tbl>
      <w:tblPr>
        <w:tblW w:w="8338" w:type="dxa"/>
        <w:jc w:val="left"/>
        <w:tblInd w:w="0" w:type="dxa"/>
        <w:tblLayout w:type="fixed"/>
        <w:tblCellMar>
          <w:top w:w="0" w:type="dxa"/>
          <w:left w:w="0" w:type="dxa"/>
          <w:bottom w:w="0" w:type="dxa"/>
          <w:right w:w="0" w:type="dxa"/>
        </w:tblCellMar>
      </w:tblPr>
      <w:tblGrid>
        <w:gridCol w:w="5690"/>
        <w:gridCol w:w="60"/>
        <w:gridCol w:w="178"/>
        <w:gridCol w:w="996"/>
        <w:gridCol w:w="60"/>
        <w:gridCol w:w="60"/>
        <w:gridCol w:w="185"/>
        <w:gridCol w:w="1034"/>
        <w:gridCol w:w="75"/>
      </w:tblGrid>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75" w:type="dxa"/>
            <w:tcBorders/>
            <w:vAlign w:val="center"/>
          </w:tcPr>
          <w:p>
            <w:pPr>
              <w:pStyle w:val="TableContents"/>
              <w:bidi w:val="0"/>
              <w:spacing w:before="0" w:after="283"/>
              <w:jc w:val="left"/>
              <w:rPr/>
            </w:pPr>
            <w:r>
              <w:rPr/>
              <w:t> </w:t>
            </w:r>
          </w:p>
        </w:tc>
      </w:tr>
      <w:tr>
        <w:trPr/>
        <w:tc>
          <w:tcPr>
            <w:tcW w:w="5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ind w:left="0" w:right="0" w:hanging="0"/>
              <w:jc w:val="left"/>
              <w:rPr/>
            </w:pPr>
            <w:r>
              <w:rPr/>
              <w:t> </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151,538</w:t>
            </w:r>
          </w:p>
        </w:tc>
        <w:tc>
          <w:tcPr>
            <w:tcW w:w="7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21,624</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operating lease liabilities</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140,021</w:t>
            </w:r>
          </w:p>
        </w:tc>
        <w:tc>
          <w:tcPr>
            <w:tcW w:w="75" w:type="dxa"/>
            <w:tcBorders/>
            <w:shd w:fill="CCEEFF" w:val="clear"/>
            <w:vAlign w:val="center"/>
          </w:tcPr>
          <w:p>
            <w:pPr>
              <w:pStyle w:val="TableContents"/>
              <w:bidi w:val="0"/>
              <w:spacing w:before="0" w:after="283"/>
              <w:ind w:left="540" w:right="0" w:hanging="0"/>
              <w:jc w:val="left"/>
              <w:rPr/>
            </w:pPr>
            <w:r>
              <w:rPr/>
              <w:t> </w:t>
            </w:r>
          </w:p>
        </w:tc>
      </w:tr>
      <w:tr>
        <w:trPr/>
        <w:tc>
          <w:tcPr>
            <w:tcW w:w="569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161,645</w:t>
            </w:r>
          </w:p>
        </w:tc>
        <w:tc>
          <w:tcPr>
            <w:tcW w:w="75" w:type="dxa"/>
            <w:tcBorders/>
            <w:shd w:fill="FFFFFF" w:val="clear"/>
            <w:vAlign w:val="center"/>
          </w:tcPr>
          <w:p>
            <w:pPr>
              <w:pStyle w:val="TableContents"/>
              <w:bidi w:val="0"/>
              <w:spacing w:before="0" w:after="283"/>
              <w:jc w:val="left"/>
              <w:rPr/>
            </w:pPr>
            <w:r>
              <w:rPr/>
              <w:t> </w:t>
            </w:r>
          </w:p>
        </w:tc>
      </w:tr>
      <w:tr>
        <w:trPr/>
        <w:tc>
          <w:tcPr>
            <w:tcW w:w="56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right-of-use assets in 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2,493</w:t>
            </w:r>
          </w:p>
        </w:tc>
        <w:tc>
          <w:tcPr>
            <w:tcW w:w="75" w:type="dxa"/>
            <w:tcBorders/>
            <w:shd w:fill="CCEEFF" w:val="clear"/>
            <w:vAlign w:val="center"/>
          </w:tcPr>
          <w:p>
            <w:pPr>
              <w:pStyle w:val="TableContents"/>
              <w:bidi w:val="0"/>
              <w:spacing w:before="0" w:after="283"/>
              <w:jc w:val="left"/>
              <w:rPr/>
            </w:pPr>
            <w:r>
              <w:rPr/>
              <w:t> </w:t>
            </w:r>
          </w:p>
        </w:tc>
      </w:tr>
      <w:tr>
        <w:trPr/>
        <w:tc>
          <w:tcPr>
            <w:tcW w:w="56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5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finance lease liabilities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75" w:type="dxa"/>
            <w:tcBorders/>
            <w:shd w:fill="FFFFFF" w:val="clear"/>
            <w:vAlign w:val="center"/>
          </w:tcPr>
          <w:p>
            <w:pPr>
              <w:pStyle w:val="TableContents"/>
              <w:bidi w:val="0"/>
              <w:spacing w:before="0" w:after="283"/>
              <w:ind w:left="540" w:right="0" w:hanging="0"/>
              <w:jc w:val="left"/>
              <w:rPr/>
            </w:pPr>
            <w:r>
              <w:rPr/>
              <w:t> </w:t>
            </w:r>
          </w:p>
        </w:tc>
      </w:tr>
      <w:tr>
        <w:trPr/>
        <w:tc>
          <w:tcPr>
            <w:tcW w:w="569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finance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Supplemental cash flow information related to leases is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86"/>
        <w:gridCol w:w="60"/>
        <w:gridCol w:w="238"/>
        <w:gridCol w:w="927"/>
        <w:gridCol w:w="76"/>
        <w:gridCol w:w="76"/>
        <w:gridCol w:w="238"/>
        <w:gridCol w:w="927"/>
        <w:gridCol w:w="77"/>
      </w:tblGrid>
      <w:tr>
        <w:trPr/>
        <w:tc>
          <w:tcPr>
            <w:tcW w:w="7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77" w:type="dxa"/>
            <w:tcBorders/>
            <w:vAlign w:val="center"/>
          </w:tcPr>
          <w:p>
            <w:pPr>
              <w:pStyle w:val="TableContents"/>
              <w:bidi w:val="0"/>
              <w:spacing w:before="0" w:after="283"/>
              <w:jc w:val="left"/>
              <w:rPr/>
            </w:pPr>
            <w:r>
              <w:rPr/>
              <w:t> </w:t>
            </w:r>
          </w:p>
        </w:tc>
      </w:tr>
      <w:tr>
        <w:trPr/>
        <w:tc>
          <w:tcPr>
            <w:tcW w:w="7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16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77" w:type="dxa"/>
            <w:tcBorders/>
            <w:vAlign w:val="center"/>
          </w:tcPr>
          <w:p>
            <w:pPr>
              <w:pStyle w:val="TableContents"/>
              <w:bidi w:val="0"/>
              <w:spacing w:before="0" w:after="283"/>
              <w:jc w:val="left"/>
              <w:rPr/>
            </w:pPr>
            <w:r>
              <w:rPr/>
              <w:t> </w:t>
            </w:r>
          </w:p>
        </w:tc>
      </w:tr>
      <w:tr>
        <w:trPr/>
        <w:tc>
          <w:tcPr>
            <w:tcW w:w="7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11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7" w:type="dxa"/>
            <w:tcBorders/>
            <w:vAlign w:val="center"/>
          </w:tcPr>
          <w:p>
            <w:pPr>
              <w:pStyle w:val="TableContents"/>
              <w:bidi w:val="0"/>
              <w:spacing w:before="0" w:after="283"/>
              <w:jc w:val="left"/>
              <w:rPr/>
            </w:pPr>
            <w:r>
              <w:rPr/>
              <w:t> </w:t>
            </w:r>
          </w:p>
        </w:tc>
      </w:tr>
      <w:tr>
        <w:trPr/>
        <w:tc>
          <w:tcPr>
            <w:tcW w:w="75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58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7,382</w:t>
            </w:r>
          </w:p>
        </w:tc>
        <w:tc>
          <w:tcPr>
            <w:tcW w:w="77" w:type="dxa"/>
            <w:tcBorders/>
            <w:shd w:fill="FFFFFF" w:val="clear"/>
            <w:vAlign w:val="center"/>
          </w:tcPr>
          <w:p>
            <w:pPr>
              <w:pStyle w:val="TableContents"/>
              <w:bidi w:val="0"/>
              <w:spacing w:before="0" w:after="283"/>
              <w:jc w:val="left"/>
              <w:rPr/>
            </w:pPr>
            <w:r>
              <w:rPr/>
              <w:t> </w:t>
            </w:r>
          </w:p>
        </w:tc>
      </w:tr>
      <w:tr>
        <w:trPr/>
        <w:tc>
          <w:tcPr>
            <w:tcW w:w="758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77" w:type="dxa"/>
            <w:tcBorders/>
            <w:shd w:fill="CCEEFF" w:val="clear"/>
            <w:vAlign w:val="center"/>
          </w:tcPr>
          <w:p>
            <w:pPr>
              <w:pStyle w:val="TableContents"/>
              <w:bidi w:val="0"/>
              <w:spacing w:before="0" w:after="283"/>
              <w:jc w:val="left"/>
              <w:rPr/>
            </w:pPr>
            <w:r>
              <w:rPr/>
              <w:t> </w:t>
            </w:r>
          </w:p>
        </w:tc>
      </w:tr>
      <w:tr>
        <w:trPr/>
        <w:tc>
          <w:tcPr>
            <w:tcW w:w="758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77" w:type="dxa"/>
            <w:tcBorders/>
            <w:shd w:fill="FFFFFF" w:val="clear"/>
            <w:vAlign w:val="center"/>
          </w:tcPr>
          <w:p>
            <w:pPr>
              <w:pStyle w:val="TableContents"/>
              <w:bidi w:val="0"/>
              <w:spacing w:before="0" w:after="283"/>
              <w:jc w:val="left"/>
              <w:rPr/>
            </w:pPr>
            <w:r>
              <w:rPr/>
              <w:t> </w:t>
            </w:r>
          </w:p>
        </w:tc>
      </w:tr>
      <w:tr>
        <w:trPr/>
        <w:tc>
          <w:tcPr>
            <w:tcW w:w="75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5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arising from obtaining right-of-use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2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9,616</w:t>
            </w:r>
          </w:p>
        </w:tc>
        <w:tc>
          <w:tcPr>
            <w:tcW w:w="77" w:type="dxa"/>
            <w:tcBorders/>
            <w:shd w:fill="FFFFFF" w:val="clear"/>
            <w:vAlign w:val="center"/>
          </w:tcPr>
          <w:p>
            <w:pPr>
              <w:pStyle w:val="TableContents"/>
              <w:bidi w:val="0"/>
              <w:spacing w:before="0" w:after="283"/>
              <w:jc w:val="left"/>
              <w:rPr/>
            </w:pPr>
            <w:r>
              <w:rPr/>
              <w:t> </w:t>
            </w:r>
          </w:p>
        </w:tc>
      </w:tr>
      <w:tr>
        <w:trPr/>
        <w:tc>
          <w:tcPr>
            <w:tcW w:w="75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noncash information on lease liabilities removed due to purchase of leased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As of December 27, 2025, the maturities of lease liabilities were as follows:</w:t>
      </w:r>
    </w:p>
    <w:p>
      <w:pPr>
        <w:pStyle w:val="TextBody"/>
        <w:bidi w:val="0"/>
        <w:spacing w:before="0" w:after="0"/>
        <w:ind w:left="0" w:right="0" w:hanging="0"/>
        <w:jc w:val="left"/>
        <w:rPr/>
      </w:pPr>
      <w:r>
        <w:rPr/>
        <w:t> </w:t>
      </w:r>
    </w:p>
    <w:tbl>
      <w:tblPr>
        <w:tblW w:w="6533" w:type="dxa"/>
        <w:jc w:val="left"/>
        <w:tblInd w:w="0" w:type="dxa"/>
        <w:tblLayout w:type="fixed"/>
        <w:tblCellMar>
          <w:top w:w="0" w:type="dxa"/>
          <w:left w:w="0" w:type="dxa"/>
          <w:bottom w:w="0" w:type="dxa"/>
          <w:right w:w="0" w:type="dxa"/>
        </w:tblCellMar>
      </w:tblPr>
      <w:tblGrid>
        <w:gridCol w:w="3425"/>
        <w:gridCol w:w="60"/>
        <w:gridCol w:w="228"/>
        <w:gridCol w:w="1276"/>
        <w:gridCol w:w="80"/>
        <w:gridCol w:w="60"/>
        <w:gridCol w:w="267"/>
        <w:gridCol w:w="1042"/>
        <w:gridCol w:w="95"/>
      </w:tblGrid>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Operating 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Finance Leases</w:t>
            </w:r>
          </w:p>
        </w:tc>
        <w:tc>
          <w:tcPr>
            <w:tcW w:w="95" w:type="dxa"/>
            <w:tcBorders/>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ending September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2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ind w:left="0" w:right="0" w:hanging="0"/>
              <w:jc w:val="left"/>
              <w:rPr/>
            </w:pPr>
            <w:r>
              <w:rPr/>
              <w:t> </w:t>
            </w:r>
          </w:p>
        </w:tc>
        <w:tc>
          <w:tcPr>
            <w:tcW w:w="10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109,416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95" w:type="dxa"/>
            <w:tcBorders/>
            <w:shd w:fill="FFFFFF" w:val="clear"/>
            <w:vAlign w:val="center"/>
          </w:tcPr>
          <w:p>
            <w:pPr>
              <w:pStyle w:val="TableContents"/>
              <w:bidi w:val="0"/>
              <w:spacing w:before="0" w:after="283"/>
              <w:ind w:left="360" w:right="0" w:hanging="0"/>
              <w:jc w:val="left"/>
              <w:rPr/>
            </w:pPr>
            <w:r>
              <w:rPr/>
              <w:t> </w:t>
            </w:r>
          </w:p>
        </w:tc>
      </w:tr>
      <w:tr>
        <w:trPr/>
        <w:tc>
          <w:tcPr>
            <w:tcW w:w="34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minimum payments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2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217,152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ind w:left="0" w:right="0" w:hanging="0"/>
              <w:jc w:val="left"/>
              <w:rPr/>
            </w:pPr>
            <w:r>
              <w:rPr/>
              <w:t> </w:t>
            </w:r>
          </w:p>
        </w:tc>
        <w:tc>
          <w:tcPr>
            <w:tcW w:w="10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amount representing interest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95" w:type="dxa"/>
            <w:tcBorders/>
            <w:shd w:fill="FFFF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342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1,863</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sz w:val="20"/>
        </w:rPr>
      </w:pPr>
      <w:r>
        <w:rPr>
          <w:rFonts w:ascii="Times New Roman" w:hAnsi="Times New Roman"/>
          <w:sz w:val="20"/>
        </w:rPr>
        <w:t>As of December 27, 2025 the weighted-average remaining term of our operating and finance leases was 12.0 years and 3.8 years, respectively.</w:t>
      </w:r>
    </w:p>
    <w:p>
      <w:pPr>
        <w:pStyle w:val="TextBody"/>
        <w:bidi w:val="0"/>
        <w:spacing w:before="0" w:after="0"/>
        <w:ind w:left="1080" w:right="0" w:hanging="0"/>
        <w:jc w:val="left"/>
        <w:rPr>
          <w:rFonts w:ascii="Times New Roman" w:hAnsi="Times New Roman"/>
          <w:sz w:val="20"/>
        </w:rPr>
      </w:pPr>
      <w:r>
        <w:rPr>
          <w:rFonts w:ascii="Times New Roman" w:hAnsi="Times New Roman"/>
          <w:sz w:val="20"/>
        </w:rPr>
        <w:t>As of September 27, 2025 the weighted-average remaining term of our operating and finance leases was 11.4 years and 4.1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665"/>
        <w:gridCol w:w="131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15</w:t>
            </w:r>
          </w:p>
        </w:tc>
        <w:tc>
          <w:tcPr>
            <w:tcW w:w="1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Related Parties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We have related party expenses for distribution and shipping related costs with NFI Industries, Inc. and its affiliated entities (“NFI”). Our director, Sidney R. Brown, is CEO and an owner of NFI Industries,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payments to NFI were as follows:</w:t>
      </w:r>
    </w:p>
    <w:p>
      <w:pPr>
        <w:pStyle w:val="TextBody"/>
        <w:bidi w:val="0"/>
        <w:spacing w:before="0" w:after="0"/>
        <w:ind w:left="0" w:right="0" w:hanging="0"/>
        <w:jc w:val="left"/>
        <w:rPr>
          <w:caps w:val="false"/>
          <w:smallCaps w:val="false"/>
        </w:rPr>
      </w:pPr>
      <w:r>
        <w:rPr>
          <w:caps w:val="false"/>
          <w:smallCaps w:val="false"/>
        </w:rPr>
        <w:t> </w:t>
      </w:r>
    </w:p>
    <w:tbl>
      <w:tblPr>
        <w:tblW w:w="6765" w:type="dxa"/>
        <w:jc w:val="left"/>
        <w:tblInd w:w="0" w:type="dxa"/>
        <w:tblLayout w:type="fixed"/>
        <w:tblCellMar>
          <w:top w:w="0" w:type="dxa"/>
          <w:left w:w="0" w:type="dxa"/>
          <w:bottom w:w="0" w:type="dxa"/>
          <w:right w:w="0" w:type="dxa"/>
        </w:tblCellMar>
      </w:tblPr>
      <w:tblGrid>
        <w:gridCol w:w="4100"/>
        <w:gridCol w:w="60"/>
        <w:gridCol w:w="290"/>
        <w:gridCol w:w="884"/>
        <w:gridCol w:w="91"/>
        <w:gridCol w:w="91"/>
        <w:gridCol w:w="290"/>
        <w:gridCol w:w="884"/>
        <w:gridCol w:w="7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 millions) </w:t>
            </w:r>
          </w:p>
        </w:tc>
        <w:tc>
          <w:tcPr>
            <w:tcW w:w="75"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management services payments (1)</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2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management services payments (2)</w:t>
            </w:r>
          </w:p>
        </w:tc>
        <w:tc>
          <w:tcPr>
            <w:tcW w:w="6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payments (3)</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Pass through payments to third parties (4)</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 distributed to NFI</w:t>
            </w:r>
          </w:p>
        </w:tc>
        <w:tc>
          <w:tcPr>
            <w:tcW w:w="60" w:type="dxa"/>
            <w:tcBorders/>
            <w:shd w:fill="CCEEFF" w:val="cle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3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contracted with NFI for transportation management services, which involves the arrangement for the distribution of the Company's goods. This amount represents the payments for management fees associated with this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3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Company is entered into a master service agreement with NFI for the operations and labor management of our three regional distribution centers. This amount represents the payments to NFI for services rendered under this contract.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2"/>
        <w:gridCol w:w="9953"/>
      </w:tblGrid>
      <w:tr>
        <w:trPr/>
        <w:tc>
          <w:tcPr>
            <w:tcW w:w="6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5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June 2023, the Company began leasing a regional distribution center in Terrell, Texas that was constructed by, and is owned by, a subsidiary of NFI. This amount represents the lease payments associated with the lease arrangement. At the lease commencement date, $28.7 million was recorded as an operating right-of-use asset, $0.2 million was recorded as a current operating lease liability, and $28.5 million was recorded as a non-current operating lease liability. As of December 27, 2025, $26.2 million was recorded as an operating right-of-use asset, $0.7 million was recorded as a current operating lease liability, and $27.3 million was recorded as a non-current operating lease liability. As of September 27, 2025, $26.5 million was recorded as an operating right-of-use asset, $0.7 million was recorded as a current operating lease liability, and $27.4 million was recorded as a non-current operating lease liability.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This amount represents passed through payments to third-party distribution and shipping vendors that are managed on the Company's behalf by NFI.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December 27, 2025, and September 27, 2025, related party trade payables of approximately $2.5 million and $3.2 million, respectively, were recorded as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All agreements with NFI include terms that are consistent with those that we believe would have been negotiated at an arm’s length with an independent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Ken Roshkoff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Company pays board advisory consulting fees to the husband of our director, Marjorie Roshkoff. In the three months ended December 27, 2025 and December 28, 2024, the company paid $13,000 for these board advisory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665"/>
        <w:gridCol w:w="143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16</w:t>
            </w:r>
          </w:p>
        </w:tc>
        <w:tc>
          <w:tcPr>
            <w:tcW w:w="14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Reclassifications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Certain prior year financial statement amounts have been reclassified to be consistent with the presentation for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665"/>
        <w:gridCol w:w="2375"/>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17</w:t>
            </w:r>
          </w:p>
        </w:tc>
        <w:tc>
          <w:tcPr>
            <w:tcW w:w="23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 Repurchase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inclusive of any fees, commissions, and other expenses related to such repurchases. Under the 2025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2025 Share Repurchase Program is effective for two years; however, the 2025 Share Repurchase Program does not obligate the Company to repurchase any specific number of shares and may be suspended, modified or terminated at any time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In the three months ended December 27, 2025, the Company repurchased 458,467 shares of common stock of the Company at an average price of $91.61 per share on the open market, pursuant to the share repurchase program. As of the date of the repurchase, the repurchased shares were retired and returned to the status of authorized but unissued shares of common stock.</w:t>
      </w:r>
    </w:p>
    <w:p>
      <w:pPr>
        <w:pStyle w:val="TextBody"/>
        <w:bidi w:val="0"/>
        <w:spacing w:before="0" w:after="0"/>
        <w:ind w:left="0" w:right="0" w:hanging="0"/>
        <w:jc w:val="left"/>
        <w:rPr>
          <w:caps w:val="false"/>
          <w:smallCaps w:val="false"/>
        </w:rPr>
      </w:pPr>
      <w:r>
        <w:rPr>
          <w:caps w:val="false"/>
          <w:smallCaps w:val="false"/>
        </w:rPr>
        <w:t> </w:t>
      </w:r>
    </w:p>
    <w:tbl>
      <w:tblPr>
        <w:tblW w:w="5475" w:type="dxa"/>
        <w:jc w:val="left"/>
        <w:tblInd w:w="0" w:type="dxa"/>
        <w:tblLayout w:type="fixed"/>
        <w:tblCellMar>
          <w:top w:w="0" w:type="dxa"/>
          <w:left w:w="0" w:type="dxa"/>
          <w:bottom w:w="0" w:type="dxa"/>
          <w:right w:w="0" w:type="dxa"/>
        </w:tblCellMar>
      </w:tblPr>
      <w:tblGrid>
        <w:gridCol w:w="2780"/>
        <w:gridCol w:w="60"/>
        <w:gridCol w:w="207"/>
        <w:gridCol w:w="981"/>
        <w:gridCol w:w="99"/>
        <w:gridCol w:w="99"/>
        <w:gridCol w:w="715"/>
        <w:gridCol w:w="459"/>
        <w:gridCol w:w="75"/>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45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repurchased (in thousands)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15" w:type="dxa"/>
            <w:tcBorders/>
            <w:shd w:fill="CCEEFF" w:val="clear"/>
            <w:vAlign w:val="center"/>
          </w:tcPr>
          <w:p>
            <w:pPr>
              <w:pStyle w:val="TableContents"/>
              <w:bidi w:val="0"/>
              <w:spacing w:before="0" w:after="283"/>
              <w:ind w:left="0" w:right="0" w:hanging="0"/>
              <w:jc w:val="left"/>
              <w:rPr/>
            </w:pPr>
            <w:r>
              <w:rPr/>
              <w:t> </w:t>
            </w:r>
          </w:p>
        </w:tc>
        <w:tc>
          <w:tcPr>
            <w:tcW w:w="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price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20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91.61</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investment (in thousands)</w:t>
            </w:r>
          </w:p>
        </w:tc>
        <w:tc>
          <w:tcPr>
            <w:tcW w:w="60" w:type="dxa"/>
            <w:tcBorders/>
            <w:shd w:fill="CCEEFF" w:val="clear"/>
            <w:vAlign w:val="center"/>
          </w:tcPr>
          <w:p>
            <w:pPr>
              <w:pStyle w:val="TableContents"/>
              <w:bidi w:val="0"/>
              <w:spacing w:before="0" w:after="283"/>
              <w:ind w:left="0" w:right="0" w:hanging="0"/>
              <w:jc w:val="left"/>
              <w:rPr/>
            </w:pPr>
            <w:r>
              <w:rPr/>
              <w:t> </w:t>
            </w:r>
          </w:p>
        </w:tc>
        <w:tc>
          <w:tcPr>
            <w:tcW w:w="20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of December 27, 2025, the Company has fully exhausted its share repurchase ability under the 2025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665"/>
        <w:gridCol w:w="398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Note 18</w:t>
            </w:r>
          </w:p>
        </w:tc>
        <w:tc>
          <w:tcPr>
            <w:tcW w:w="3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Manufacturing Facility Closures and Disposals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During the fourth quarter of fiscal 2025, we announced the closure of two manufacturing facilities, our plant in Holly Ridge, North Carolina, and our plant in Atlanta, Georgia. In October 2025, during the first quarter of fiscal 2026, we subsequently announced the closure of a third manufacturing facility, our plant in Colton, California. Production from these facilities will either be consolidated into various other facilities across our network, or it will be discontinued as part of our ongoing sales portfolio optimization. This consolidation was enabled by the investments we have made in our plants to modernize and expand capacity for our core products, as well as our investments made to build out our three regional distribution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plant closures, we recorded charges of $6.1 million in the three months ended December 27, 2025. These costs are reported in the plant closure expense item within the Operating expenses section of the Consolidated Statements of Income. Included in the results in the three months ended December 27, 2025 are $4.3 million of charges that have resulted or will result in cash outflows, and $1.8 million of non-cash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Holly Ridge, NC produced handheld products for our Food Service and Retail Supermarket segments and ceased production on July 31, 2025. The closure costs for the facility totaled $0.4 million in three months ended December 27, 2025, comprised of other exit and disposal costs of $0.4 million. These costs are reported in the plant closure expense item of the Consolidated Statements of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Atlanta, GA produced bakery and biscuit products for our Food Service and Retail Supermarket segments and ceased production on September 27, 2025. The closure costs for the facility totaled $3.6 million in the three months ended December 27, 2025, including severance and benefit costs of $0.5 million, inventory write-offs of $1.4 million, and other exit and disposal costs of $1.7 million. These costs are reported in the plant closure expense item of the Consolidated Statements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manufacturing facility in Colton, CA produced churro products for our Food Service and Retail Supermarket segments and ceased production in the first quarter of fiscal 2026. The closure costs for the plant totaled $2.1 million in the three months ended December 27, 2025, including long-lived asset impairment charges of $0.4 million, severance and benefit costs of $1.4 million, and other exit and disposal costs of $0.3 million. These costs are reported in the plant closure expense item of the Consolidated Statements of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reflects our liability related to manufacturing facility closures as of December 27, 2025 (in thousands):</w:t>
      </w:r>
    </w:p>
    <w:p>
      <w:pPr>
        <w:pStyle w:val="TextBody"/>
        <w:bidi w:val="0"/>
        <w:spacing w:before="0" w:after="0"/>
        <w:ind w:left="0" w:right="0" w:hanging="0"/>
        <w:jc w:val="left"/>
        <w:rPr>
          <w:caps w:val="false"/>
          <w:smallCaps w:val="false"/>
        </w:rPr>
      </w:pPr>
      <w:r>
        <w:rPr>
          <w:caps w:val="false"/>
          <w:smallCaps w:val="false"/>
        </w:rPr>
        <w:t> </w:t>
      </w:r>
    </w:p>
    <w:tbl>
      <w:tblPr>
        <w:tblW w:w="7526" w:type="dxa"/>
        <w:jc w:val="left"/>
        <w:tblInd w:w="0" w:type="dxa"/>
        <w:tblLayout w:type="fixed"/>
        <w:tblCellMar>
          <w:top w:w="0" w:type="dxa"/>
          <w:left w:w="0" w:type="dxa"/>
          <w:bottom w:w="0" w:type="dxa"/>
          <w:right w:w="0" w:type="dxa"/>
        </w:tblCellMar>
      </w:tblPr>
      <w:tblGrid>
        <w:gridCol w:w="2360"/>
        <w:gridCol w:w="60"/>
        <w:gridCol w:w="249"/>
        <w:gridCol w:w="970"/>
        <w:gridCol w:w="60"/>
        <w:gridCol w:w="60"/>
        <w:gridCol w:w="231"/>
        <w:gridCol w:w="898"/>
        <w:gridCol w:w="60"/>
        <w:gridCol w:w="60"/>
        <w:gridCol w:w="210"/>
        <w:gridCol w:w="919"/>
        <w:gridCol w:w="80"/>
        <w:gridCol w:w="60"/>
        <w:gridCol w:w="318"/>
        <w:gridCol w:w="856"/>
        <w:gridCol w:w="75"/>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September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Plant closure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Plant closure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charges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 benefits costs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 and disposal costs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665"/>
        <w:gridCol w:w="1580"/>
      </w:tblGrid>
      <w:tr>
        <w:trPr/>
        <w:tc>
          <w:tcPr>
            <w:tcW w:w="6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Note 19</w:t>
            </w:r>
          </w:p>
        </w:tc>
        <w:tc>
          <w:tcPr>
            <w:tcW w:w="15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Subsequent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On February 3, 2026, the Company announced that the Board of Directors authorized a new share repurchase program (the “2026 Share Repurchase Program”) pursuant to which the Company could repurchase up to $50.0 million of the Company’s common stock, exclusive of any fees, commissions, and other expenses related to such repurchases. Under the 2026 Share Repurchase Program, the Company may repurchase its common stock from time to time, in amounts, at prices, and at such times as the Company deems appropriate, subject to market conditions, legal requirements, and other considerations. The Company’s repurchases may be executed using open market purchases, unsolicited or solicited privately negotiated transactions, or other transactions, and may be affected pursuant to trading plans intended to qualify under Rule 10b5-1 of the Securities Exchange Act of 1934, as amended. The 2026 Share Repurchase Program is effective for approximately two years; however, the 2026 Share Repurchase Program does not obligate the Company to repurchase any specific number of shares and may be suspended, modified or terminated at any time without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Statements made in this Form 10-Q that are not historical or current facts are “forward-looking statements” made pursuant to the safe harbor provisions of Section 27A of the Securities Act of 1933, as amended (the “Securities Act”), and Section 21E of the Securities Exchange Act of 1934, as amended (the “Exchange Act”). These statements discuss goals, intentions and expectations as to future trends, plans, events, results of operations or financial condition, or state other information relating to us, based on our current beliefs as well as assumptions made by us and information currently available to us. Forward-looking statements generally will be accompanied by words such as "anticipate," "if," "may," "believe," "plan,", "goals," "estimate," "expect," "project," "continue," "forecast," "intend," "may," "could," "should," "will," and other similar expressions. Statements addressing our future operating performance and statements addressing events and developments that we expect or anticipate will occur are also considered forward-looking statements. This includes, without limitation, our statements and expectations regarding any current or future recovery in our industry (or the industries of our customers), the success of new product innovations, the impact of tariffs and other government regulations, and the future impact of our supply chain efficiency projects, including facility optimization projects and investments in additional production capacity and logistics and warehousing operations. Such forward-looking statements are inherently uncertain, and readers must recognize that actual results may differ materially from the expectations of management. We intend that such forward-looking statements be subject to the safe harbor provisions of the Securities Act and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wish to caution readers not to place undue reliance on any such forward-looking statements, which speak as of the date made. Any forward-looking statements represent our best judgment as to what may occur in the future. However, forward-looking statements are subject to risks, uncertainties, and important factors beyond our control that could cause actual results and events to differ materially from historical results of operations and events and those presently anticipated or projected. We disclaim any obligation to revise, update, add or to otherwise correct, any forward-looking statements to reflect events or circumstances after the date of such statement or to reflect the occurrence of anticipated or unanticipated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of Financial Condition and Results of Operations is intended to provide readers of our financial statements with a narrative form from the perspective of our management regarding our financial condition and results of operations, liquidity and certain other factors that may affect our future results. The following discussion should be read in conjunction with the consolidated financial statements and accompanying notes included in Part I, Item 1 of this Quarterly Report on Form 10-Q and within the Company’s Annual Report on Form 10-K filed for the fiscal year ended September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manufactures snack foods and distributes frozen beverages which it markets nationally to the foodservice and retail supermarket industries. The Company’s principal snack food products are soft pretzels, frozen novelties, churros and bakery products. We believe we are the largest manufacturer of soft pretzels in the United States. Other snack food products include funnel cake and handheld products. The Company’s principal frozen beverage products are the ICEE brand frozen carbonated beverage and the SLUSH PUPPIE brand frozen non-carbonated beverage.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Food Service and Frozen Beverages sales are made primarily to foodservice customers including snack bar and food stand locations in leading chain, department, discount, warehouse club and convenience stores; malls and shopping centers; fast food and casual dining restaurants; stadiums and sports arenas; leisure and theme parks; movie theatres; independent retailers; and schools, colleges and other institutions. The Company’s retail supermarket customers are primarily supermarket chains.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Trends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generally sold for discretionary consumption. Our results are impacted by macroeconomic and demographic trends and changes in consumer behavior. The U.S. economy has experienced economic volatility and uncertainty in recent years, which has had, and we expect might continue to have, an impact on consumer behavior. Consumer spending may continue to be impacted by levels of discretionary income and the impact of that on the consumer’s decision making around their purchases. In addition, inflation continues to impact our business, and fluctuating raw material input costs may continue to impact the costs of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While overall packaging and raw material inflation, inclusive of the cocoa market, appears to be moderating for fiscal 2026, uncertainty within the supply chain surrounding impacts from the U.S. government’s tariffs on imports could continue to be a potential headwind for the Company in fiscal 2026. Tariffs may increase the cost of certain raw materials and packaging that we use in our business, and our financial performance may be adversely impacted if we are unable to pass on the cost increases in the form of price increases to our customers. Additionally, the ultimate impact of tariffs may be difficult to predict as tariff rates and duration remain uncertain, which can make our planning process more challenging.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help combat these potential headwinds, we continue to pursue operational improvements, as well as expand growth opportunities across our various channels and customers. Some recent examples of implementing these strategies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recently completed strategic supply chain transformation in which we opened three regional distribution centers which is projected to drive cost reductions around warehousing and distribution.</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recent addition of six new production lines which has significantly expanded our capacity and allowed us to meet growth opportunities across our core products such as pretzels, churros and frozen novelties.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Implementation of a new ERP system in fiscal 2022 which has helped to create efficiencies and streamline internal processes.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Many examples of successful cross-selling and leveraging our brands across customer channels, including our recent expansion of Dippin’ Dots brand into retail and further into the theater channel.</w:t>
            </w:r>
          </w:p>
        </w:tc>
      </w:tr>
    </w:tbl>
    <w:tbl>
      <w:tblPr>
        <w:tblW w:w="8890" w:type="dxa"/>
        <w:jc w:val="left"/>
        <w:tblInd w:w="0" w:type="dxa"/>
        <w:tblLayout w:type="fixed"/>
        <w:tblCellMar>
          <w:top w:w="0" w:type="dxa"/>
          <w:left w:w="0" w:type="dxa"/>
          <w:bottom w:w="0" w:type="dxa"/>
          <w:right w:w="0" w:type="dxa"/>
        </w:tblCellMar>
      </w:tblPr>
      <w:tblGrid>
        <w:gridCol w:w="60"/>
        <w:gridCol w:w="170"/>
        <w:gridCol w:w="8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Further expansion of our SuperPretzel brand across the retail market through the launch of Bavarian Sticks.</w:t>
            </w:r>
          </w:p>
        </w:tc>
      </w:tr>
    </w:tbl>
    <w:tbl>
      <w:tblPr>
        <w:tblW w:w="5050" w:type="dxa"/>
        <w:jc w:val="left"/>
        <w:tblInd w:w="0" w:type="dxa"/>
        <w:tblLayout w:type="fixed"/>
        <w:tblCellMar>
          <w:top w:w="0" w:type="dxa"/>
          <w:left w:w="0" w:type="dxa"/>
          <w:bottom w:w="0" w:type="dxa"/>
          <w:right w:w="0" w:type="dxa"/>
        </w:tblCellMar>
      </w:tblPr>
      <w:tblGrid>
        <w:gridCol w:w="60"/>
        <w:gridCol w:w="170"/>
        <w:gridCol w:w="48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fiscal year 2023 rollout of our new Hola! Churro brand.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recently announced transformation program, “Project Apollo,” which is anticipated to generate sustainable efficiencies and cost savings across the enterprise.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above referenced Project Apollo is expected to generate at least $20 million of run-rate operating income for the initiatives that are expected to be implemented by the end of fiscal 2026. The initial focus of the project is the consolidation and optimization of our manufacturing network. During the fourth quarter of fiscal 2025, we announced the closure of two manufacturing facilities, our plant in Holly Ridge, North Carolina, and our plant in Atlanta, Georgia. In the first quarter of fiscal 2026, we announced the closure of a third manufacturing facility, our plant in Colton, California.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Production from these facilities will either be consolidated into various other facilities across our network, or it will be discontinued as part of our ongoing sales portfolio optimization. This consolidation was enabled by the investments we have made in our plants to modernize and expand capacity for our core products, as well as our investments made to build out our three regional distribution centers. In connection with the closing of our three facilities, we recorded plant closure costs of approximately $24 million in the fourth quarter of fiscal 2025, and another $6.1 million in the first quarter of fiscal 2026. These costs primarily related to non-cash write-downs and write-offs related to inventory and to property, plant and equipment, as well as severance and benefit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to plant consolidation, as part of the first phase of Project Apollo, we are expecting to optimally reposition production within our network, which we are expecting to generate additional freight savings in fiscal 2026 and beyond, and to streamline our corporate functions, which is expected to generate general and administrative expense saving in fiscal 2026 and beyond.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 xml:space="preserve">RESULTS OF OPERATIONS </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Three months ended December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discussion provides a review of results for the three months ended December 27, 2025 as compared with the three months ended December 28,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00"/>
        <w:gridCol w:w="60"/>
        <w:gridCol w:w="175"/>
        <w:gridCol w:w="982"/>
        <w:gridCol w:w="80"/>
        <w:gridCol w:w="60"/>
        <w:gridCol w:w="175"/>
        <w:gridCol w:w="982"/>
        <w:gridCol w:w="80"/>
        <w:gridCol w:w="60"/>
        <w:gridCol w:w="89"/>
        <w:gridCol w:w="816"/>
        <w:gridCol w:w="246"/>
      </w:tblGrid>
      <w:tr>
        <w:trPr/>
        <w:tc>
          <w:tcPr>
            <w:tcW w:w="64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of Results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499"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6" w:type="dxa"/>
            <w:tcBorders/>
            <w:tcMar>
              <w:bottom w:w="0" w:type="dxa"/>
            </w:tcMar>
            <w:vAlign w:val="center"/>
          </w:tcPr>
          <w:p>
            <w:pPr>
              <w:pStyle w:val="TableContents"/>
              <w:bidi w:val="0"/>
              <w:spacing w:before="0" w:after="283"/>
              <w:jc w:val="left"/>
              <w:rPr/>
            </w:pPr>
            <w:r>
              <w:rPr/>
              <w:t> </w:t>
            </w:r>
          </w:p>
        </w:tc>
      </w:tr>
      <w:tr>
        <w:trPr/>
        <w:tc>
          <w:tcPr>
            <w:tcW w:w="6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57"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57"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6" w:type="dxa"/>
            <w:tcBorders/>
            <w:tcMar>
              <w:bottom w:w="0" w:type="dxa"/>
            </w:tcMar>
            <w:vAlign w:val="center"/>
          </w:tcPr>
          <w:p>
            <w:pPr>
              <w:pStyle w:val="TableContents"/>
              <w:bidi w:val="0"/>
              <w:spacing w:before="0" w:after="283"/>
              <w:jc w:val="left"/>
              <w:rPr/>
            </w:pPr>
            <w:r>
              <w:rPr/>
              <w:t> </w:t>
            </w:r>
          </w:p>
        </w:tc>
      </w:tr>
      <w:tr>
        <w:trPr/>
        <w:tc>
          <w:tcPr>
            <w:tcW w:w="6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5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6" w:type="dxa"/>
            <w:tcBorders/>
            <w:tcMar>
              <w:bottom w:w="0" w:type="dxa"/>
            </w:tcMar>
            <w:vAlign w:val="center"/>
          </w:tcPr>
          <w:p>
            <w:pPr>
              <w:pStyle w:val="TableContents"/>
              <w:bidi w:val="0"/>
              <w:spacing w:before="0" w:after="283"/>
              <w:jc w:val="left"/>
              <w:rPr/>
            </w:pPr>
            <w:r>
              <w:rPr/>
              <w:t> </w:t>
            </w:r>
          </w:p>
        </w:tc>
      </w:tr>
      <w:tr>
        <w:trPr/>
        <w:tc>
          <w:tcPr>
            <w:tcW w:w="6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454" w:type="dxa"/>
            <w:gridSpan w:val="6"/>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center"/>
              <w:rPr/>
            </w:pPr>
            <w:r>
              <w:rPr/>
              <w:t> </w:t>
            </w:r>
          </w:p>
        </w:tc>
        <w:tc>
          <w:tcPr>
            <w:tcW w:w="246" w:type="dxa"/>
            <w:tcBorders/>
            <w:tcMar>
              <w:bottom w:w="0" w:type="dxa"/>
            </w:tcMar>
            <w:vAlign w:val="center"/>
          </w:tcPr>
          <w:p>
            <w:pPr>
              <w:pStyle w:val="TableContents"/>
              <w:bidi w:val="0"/>
              <w:spacing w:before="0" w:after="283"/>
              <w:jc w:val="left"/>
              <w:rPr/>
            </w:pPr>
            <w:r>
              <w:rPr/>
              <w:t> </w:t>
            </w:r>
          </w:p>
        </w:tc>
      </w:tr>
      <w:tr>
        <w:trPr/>
        <w:tc>
          <w:tcPr>
            <w:tcW w:w="64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 w:type="dxa"/>
            <w:tcBorders/>
            <w:tcMar>
              <w:bottom w:w="0" w:type="dxa"/>
            </w:tcMar>
            <w:vAlign w:val="center"/>
          </w:tcPr>
          <w:p>
            <w:pPr>
              <w:pStyle w:val="TableContents"/>
              <w:bidi w:val="0"/>
              <w:spacing w:before="0" w:after="283"/>
              <w:jc w:val="left"/>
              <w:rPr/>
            </w:pPr>
            <w:r>
              <w:rPr/>
              <w:t> </w:t>
            </w:r>
          </w:p>
        </w:tc>
        <w:tc>
          <w:tcPr>
            <w:tcW w:w="982"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16" w:type="dxa"/>
            <w:tcBorders/>
            <w:tcMar>
              <w:bottom w:w="0" w:type="dxa"/>
            </w:tcMar>
            <w:vAlign w:val="center"/>
          </w:tcPr>
          <w:p>
            <w:pPr>
              <w:pStyle w:val="TableContents"/>
              <w:bidi w:val="0"/>
              <w:spacing w:before="0" w:after="283"/>
              <w:jc w:val="left"/>
              <w:rPr/>
            </w:pPr>
            <w:r>
              <w:rPr/>
              <w:t> </w:t>
            </w:r>
          </w:p>
        </w:tc>
        <w:tc>
          <w:tcPr>
            <w:tcW w:w="246" w:type="dxa"/>
            <w:tcBorders/>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343,778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362,598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247,766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268,697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96,012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93,901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24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31,499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2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38,056</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39,610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24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20,377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18,903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2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sz w:val="20"/>
              </w:rPr>
              <w:t>100.0</w:t>
            </w:r>
          </w:p>
        </w:tc>
        <w:tc>
          <w:tcPr>
            <w:tcW w:w="24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6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general expense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w:t>
            </w:r>
          </w:p>
        </w:tc>
        <w:tc>
          <w:tcPr>
            <w:tcW w:w="24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CCEEFF" w:val="clear"/>
            <w:tcMar>
              <w:bottom w:w="0" w:type="dxa"/>
            </w:tcM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87,662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982"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p>
        </w:tc>
        <w:tc>
          <w:tcPr>
            <w:tcW w:w="816" w:type="dxa"/>
            <w:tcBorders/>
            <w:shd w:fill="CCEEFF" w:val="clear"/>
            <w:tcMar>
              <w:bottom w:w="0" w:type="dxa"/>
            </w:tcMar>
            <w:vAlign w:val="center"/>
          </w:tcPr>
          <w:p>
            <w:pPr>
              <w:pStyle w:val="TableContents"/>
              <w:bidi w:val="0"/>
              <w:spacing w:before="0" w:after="283"/>
              <w:jc w:val="left"/>
              <w:rPr/>
            </w:pPr>
            <w:r>
              <w:rPr/>
              <w:t> </w:t>
            </w:r>
          </w:p>
        </w:tc>
        <w:tc>
          <w:tcPr>
            <w:tcW w:w="246"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ind w:left="0" w:right="0" w:hanging="0"/>
              <w:jc w:val="left"/>
              <w:rPr/>
            </w:pPr>
            <w:r>
              <w:rPr/>
              <w:t> </w:t>
            </w:r>
          </w:p>
        </w:tc>
        <w:tc>
          <w:tcPr>
            <w:tcW w:w="9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ind w:left="0" w:right="0" w:hanging="0"/>
              <w:jc w:val="left"/>
              <w:rPr/>
            </w:pPr>
            <w:r>
              <w:rPr/>
              <w:t> </w:t>
            </w:r>
          </w:p>
        </w:tc>
        <w:tc>
          <w:tcPr>
            <w:tcW w:w="8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24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ind w:left="0" w:right="0" w:hanging="0"/>
              <w:jc w:val="left"/>
              <w:rPr/>
            </w:pPr>
            <w:r>
              <w:rPr/>
              <w:t> </w:t>
            </w:r>
          </w:p>
        </w:tc>
        <w:tc>
          <w:tcPr>
            <w:tcW w:w="9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7,064</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8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4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982"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p>
        </w:tc>
        <w:tc>
          <w:tcPr>
            <w:tcW w:w="816" w:type="dxa"/>
            <w:tcBorders/>
            <w:shd w:fill="FFFFFF" w:val="clear"/>
            <w:tcMar>
              <w:bottom w:w="0" w:type="dxa"/>
            </w:tcMar>
            <w:vAlign w:val="center"/>
          </w:tcPr>
          <w:p>
            <w:pPr>
              <w:pStyle w:val="TableContents"/>
              <w:bidi w:val="0"/>
              <w:spacing w:before="0" w:after="283"/>
              <w:jc w:val="left"/>
              <w:rPr/>
            </w:pPr>
            <w:r>
              <w:rPr/>
              <w:t> </w:t>
            </w:r>
          </w:p>
        </w:tc>
        <w:tc>
          <w:tcPr>
            <w:tcW w:w="246"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6400" w:type="dxa"/>
            <w:tcBorders/>
            <w:shd w:fill="CCEE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2"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ind w:left="0" w:right="0" w:hanging="0"/>
              <w:jc w:val="left"/>
              <w:rPr/>
            </w:pPr>
            <w:r>
              <w:rPr/>
              <w:t> </w:t>
            </w:r>
          </w:p>
        </w:tc>
        <w:tc>
          <w:tcPr>
            <w:tcW w:w="8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24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592" w:type="dxa"/>
        <w:jc w:val="left"/>
        <w:tblInd w:w="0" w:type="dxa"/>
        <w:tblLayout w:type="fixed"/>
        <w:tblCellMar>
          <w:top w:w="0" w:type="dxa"/>
          <w:left w:w="0" w:type="dxa"/>
          <w:bottom w:w="28" w:type="dxa"/>
          <w:right w:w="0" w:type="dxa"/>
        </w:tblCellMar>
      </w:tblPr>
      <w:tblGrid>
        <w:gridCol w:w="3530"/>
        <w:gridCol w:w="60"/>
        <w:gridCol w:w="159"/>
        <w:gridCol w:w="1015"/>
        <w:gridCol w:w="185"/>
        <w:gridCol w:w="60"/>
        <w:gridCol w:w="159"/>
        <w:gridCol w:w="1015"/>
        <w:gridCol w:w="185"/>
        <w:gridCol w:w="60"/>
        <w:gridCol w:w="140"/>
        <w:gridCol w:w="944"/>
        <w:gridCol w:w="80"/>
      </w:tblGrid>
      <w:tr>
        <w:trPr/>
        <w:tc>
          <w:tcPr>
            <w:tcW w:w="35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Comparisons as a Percentage of Net Sales</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3922"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7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74" w:type="dxa"/>
            <w:gridSpan w:val="2"/>
            <w:tcBorders/>
            <w:tcMar>
              <w:bottom w:w="0"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 w:type="dxa"/>
            <w:tcBorders/>
            <w:tcMar>
              <w:bottom w:w="0" w:type="dxa"/>
            </w:tcMar>
            <w:vAlign w:val="center"/>
          </w:tcPr>
          <w:p>
            <w:pPr>
              <w:pStyle w:val="TableContents"/>
              <w:bidi w:val="0"/>
              <w:spacing w:before="0" w:after="283"/>
              <w:jc w:val="left"/>
              <w:rPr/>
            </w:pPr>
            <w:r>
              <w:rPr/>
              <w:t> </w:t>
            </w:r>
          </w:p>
        </w:tc>
        <w:tc>
          <w:tcPr>
            <w:tcW w:w="944" w:type="dxa"/>
            <w:tcBorders/>
            <w:tcMar>
              <w:bottom w:w="0" w:type="dxa"/>
            </w:tcMar>
            <w:vAlign w:val="center"/>
          </w:tcPr>
          <w:p>
            <w:pPr>
              <w:pStyle w:val="TableContents"/>
              <w:bidi w:val="0"/>
              <w:spacing w:before="0" w:after="283"/>
              <w:jc w:val="center"/>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35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Pt Chg</w:t>
            </w:r>
          </w:p>
        </w:tc>
        <w:tc>
          <w:tcPr>
            <w:tcW w:w="80" w:type="dxa"/>
            <w:tcBorders/>
            <w:tcMar>
              <w:bottom w:w="0" w:type="dxa"/>
            </w:tcMar>
            <w:vAlign w:val="center"/>
          </w:tcPr>
          <w:p>
            <w:pPr>
              <w:pStyle w:val="TableContents"/>
              <w:bidi w:val="0"/>
              <w:spacing w:before="0" w:after="283"/>
              <w:ind w:left="0" w:right="0" w:hanging="0"/>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53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Distribution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9" w:type="dxa"/>
            <w:tcBorders/>
            <w:shd w:fill="FFFFFF" w:val="clear"/>
            <w:tcMar>
              <w:bottom w:w="0" w:type="dxa"/>
            </w:tcMar>
            <w:vAlign w:val="center"/>
          </w:tcPr>
          <w:p>
            <w:pPr>
              <w:pStyle w:val="TableContents"/>
              <w:bidi w:val="0"/>
              <w:spacing w:before="0" w:after="283"/>
              <w:ind w:left="0" w:right="0" w:hanging="0"/>
              <w:jc w:val="left"/>
              <w:rPr/>
            </w:pPr>
            <w:r>
              <w:rPr/>
              <w:t> </w:t>
            </w:r>
          </w:p>
        </w:tc>
        <w:tc>
          <w:tcPr>
            <w:tcW w:w="101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left"/>
              <w:rPr/>
            </w:pPr>
            <w:r>
              <w:rPr/>
              <w:t> </w:t>
            </w:r>
          </w:p>
        </w:tc>
        <w:tc>
          <w:tcPr>
            <w:tcW w:w="94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3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9" w:type="dxa"/>
            <w:tcBorders/>
            <w:shd w:fill="CCEEFF" w:val="clear"/>
            <w:tcMar>
              <w:bottom w:w="0" w:type="dxa"/>
            </w:tcMar>
            <w:vAlign w:val="center"/>
          </w:tcPr>
          <w:p>
            <w:pPr>
              <w:pStyle w:val="TableContents"/>
              <w:bidi w:val="0"/>
              <w:spacing w:before="0" w:after="283"/>
              <w:ind w:left="0" w:right="0" w:hanging="0"/>
              <w:jc w:val="left"/>
              <w:rPr/>
            </w:pPr>
            <w:r>
              <w:rPr/>
              <w:t> </w:t>
            </w:r>
          </w:p>
        </w:tc>
        <w:tc>
          <w:tcPr>
            <w:tcW w:w="101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left"/>
              <w:rPr/>
            </w:pPr>
            <w:r>
              <w:rPr/>
              <w:t> </w:t>
            </w:r>
          </w:p>
        </w:tc>
        <w:tc>
          <w:tcPr>
            <w:tcW w:w="94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decreased $18.8 million, or 5.2%, to $343.8 million for the three months ended December 27, 2025. The sales decrease was primarily driven by declines in our Food Service segment, most notably within our bakery portfolio, and the majority of which related to our previously disclosed sales portfolio optimization.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increased by $2.1 million, or 2.2%, to $96.0 million for the three months ended December 27, 2025. As a percentage of sales, gross profit increased from 25.9% to 27.9%. The increase in gross profit as a percentage of sales was largely driven by the benefits of our previously announced plant closures as well as the favorable impact that resulted from our sales portfolio optimization. These favorable tailwinds significantly offset the unfavorable impact of lower sales volumes, as well as the impact of approximately $1 million associated with product disposal costs, and approximately $0.6 million in tariff-related costs, net of pricing offsets, all of which were primarily seen within the Food Service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Expenses increased $7.7 million, or 8.8%, to $95.4 million for the three months ended December 27, 2025. As a percentage of sales, operating expenses increased from 24.2% to 27.7%. Operating expenses included $6.1 million of plant closure expense and a partly offsetting $0.8 million gain on insurance proceeds received for damage to property, plant, and equipment in the three months ended December 27, 2025. The net impact of these items increased operating expenses as a percentage of sales by approximately 150 bps.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remaining increase in operating expenses was most notably driven by an increase in selling and marketing expenses. As a percentage of sales, selling and marketing expenses increased from 7.9% to 9.2%, with the increase primarily attributable to increased commission costs on retail vending sales, increased spend on sponsorships, brand support and other promotional activities, and higher depreciation for customer equipment for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percentage of sales, distribution expenses remained materially consistent in the three months ended December 27, 2025, increasing slightly from 10.9% to 11.1%, but declining from $39.6 million to $38.1 million. The overall decrease was primarily attributable to the lower sales volumes in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percentage of sales, general and administrative expenses increased from 5.2% to 5.9% and from $18.9 million to $20.4 million in the three months ended December 27, 2025. The increase was most significantly driven by non-recurring restructuring and legal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Other Income and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Investment income decreased $0.3 million or 31.3% to $0.7 million for the three months ended December 27, 2025 due to lower interest rates on foreign cash balances. Interest expense decreased by $0.1 million, or 34.4%, to $0.1 million for the three months ended December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effective tax rate was 27% for the three months ended December 27, 2025, as well as for the three months ended December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Net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earnings decreased by $4.3 million, or 82.8%, to $0.9 million for the three months ended December 27, 2025, due to the aforementioned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are many factors which can impact our net earnings from year to year and in the long run, among which are the supply and cost of raw materials and labor, insurance costs, factors impacting sales as noted above, the continuing consolidation of our customers, our ability to manage our manufacturing, marketing and distribution activities, our ability to make and integrate acquisitions and changes in tax laws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Business Segment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operate in three segments: Food Service, Retail Supermarket, and Frozen Beverages. The following table is a summary of sales and operating income, which is how we measure segment profit.</w:t>
      </w:r>
    </w:p>
    <w:p>
      <w:pPr>
        <w:pStyle w:val="TextBody"/>
        <w:bidi w:val="0"/>
        <w:spacing w:before="0" w:after="0"/>
        <w:ind w:left="0" w:right="0" w:hanging="0"/>
        <w:jc w:val="left"/>
        <w:rPr>
          <w:caps w:val="false"/>
          <w:smallCaps w:val="false"/>
        </w:rPr>
      </w:pPr>
      <w:r>
        <w:rPr>
          <w:caps w:val="false"/>
          <w:smallCaps w:val="false"/>
        </w:rPr>
        <w:t> </w:t>
      </w:r>
    </w:p>
    <w:tbl>
      <w:tblPr>
        <w:tblW w:w="5378" w:type="dxa"/>
        <w:jc w:val="left"/>
        <w:tblInd w:w="0" w:type="dxa"/>
        <w:tblLayout w:type="fixed"/>
        <w:tblCellMar>
          <w:top w:w="0" w:type="dxa"/>
          <w:left w:w="0" w:type="dxa"/>
          <w:bottom w:w="0" w:type="dxa"/>
          <w:right w:w="0" w:type="dxa"/>
        </w:tblCellMar>
      </w:tblPr>
      <w:tblGrid>
        <w:gridCol w:w="1580"/>
        <w:gridCol w:w="60"/>
        <w:gridCol w:w="178"/>
        <w:gridCol w:w="996"/>
        <w:gridCol w:w="60"/>
        <w:gridCol w:w="60"/>
        <w:gridCol w:w="178"/>
        <w:gridCol w:w="996"/>
        <w:gridCol w:w="60"/>
        <w:gridCol w:w="60"/>
        <w:gridCol w:w="137"/>
        <w:gridCol w:w="768"/>
        <w:gridCol w:w="245"/>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ind w:left="0" w:right="0" w:hanging="0"/>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ind w:left="0" w:right="0" w:hanging="0"/>
              <w:jc w:val="left"/>
              <w:rPr/>
            </w:pPr>
            <w:r>
              <w:rPr/>
              <w:t> </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7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8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01"/>
        <w:gridCol w:w="60"/>
        <w:gridCol w:w="201"/>
        <w:gridCol w:w="957"/>
        <w:gridCol w:w="80"/>
        <w:gridCol w:w="60"/>
        <w:gridCol w:w="215"/>
        <w:gridCol w:w="943"/>
        <w:gridCol w:w="80"/>
        <w:gridCol w:w="60"/>
        <w:gridCol w:w="108"/>
        <w:gridCol w:w="797"/>
        <w:gridCol w:w="243"/>
      </w:tblGrid>
      <w:tr>
        <w:trPr/>
        <w:tc>
          <w:tcPr>
            <w:tcW w:w="6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0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43" w:type="dxa"/>
            <w:tcBorders/>
            <w:vAlign w:val="center"/>
          </w:tcPr>
          <w:p>
            <w:pPr>
              <w:pStyle w:val="TableContents"/>
              <w:bidi w:val="0"/>
              <w:spacing w:before="0" w:after="283"/>
              <w:jc w:val="left"/>
              <w:rPr/>
            </w:pPr>
            <w:r>
              <w:rPr/>
              <w:t> </w:t>
            </w:r>
          </w:p>
        </w:tc>
      </w:tr>
      <w:tr>
        <w:trPr/>
        <w:tc>
          <w:tcPr>
            <w:tcW w:w="6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r>
      <w:tr>
        <w:trPr/>
        <w:tc>
          <w:tcPr>
            <w:tcW w:w="6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3" w:type="dxa"/>
            <w:tcBorders/>
            <w:vAlign w:val="center"/>
          </w:tcPr>
          <w:p>
            <w:pPr>
              <w:pStyle w:val="TableContents"/>
              <w:bidi w:val="0"/>
              <w:spacing w:before="0" w:after="283"/>
              <w:jc w:val="left"/>
              <w:rPr/>
            </w:pPr>
            <w:r>
              <w:rPr/>
              <w:t> </w:t>
            </w:r>
          </w:p>
        </w:tc>
      </w:tr>
      <w:tr>
        <w:trPr/>
        <w:tc>
          <w:tcPr>
            <w:tcW w:w="6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43" w:type="dxa"/>
            <w:tcBorders/>
            <w:vAlign w:val="center"/>
          </w:tcPr>
          <w:p>
            <w:pPr>
              <w:pStyle w:val="TableContents"/>
              <w:bidi w:val="0"/>
              <w:spacing w:before="0" w:after="283"/>
              <w:jc w:val="left"/>
              <w:rPr/>
            </w:pPr>
            <w:r>
              <w:rPr/>
              <w:t> </w:t>
            </w:r>
          </w:p>
        </w:tc>
      </w:tr>
      <w:tr>
        <w:trPr/>
        <w:tc>
          <w:tcPr>
            <w:tcW w:w="6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1" w:type="dxa"/>
            <w:tcBorders/>
            <w:vAlign w:val="center"/>
          </w:tcPr>
          <w:p>
            <w:pPr>
              <w:pStyle w:val="TableContents"/>
              <w:bidi w:val="0"/>
              <w:spacing w:before="0" w:after="283"/>
              <w:jc w:val="left"/>
              <w:rPr/>
            </w:pPr>
            <w:r>
              <w:rPr/>
              <w:t> </w:t>
            </w:r>
          </w:p>
        </w:tc>
        <w:tc>
          <w:tcPr>
            <w:tcW w:w="95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ind w:left="0" w:right="0" w:hanging="0"/>
              <w:jc w:val="left"/>
              <w:rPr/>
            </w:pPr>
            <w:r>
              <w:rPr/>
              <w:t> </w:t>
            </w:r>
          </w:p>
        </w:tc>
      </w:tr>
      <w:tr>
        <w:trPr/>
        <w:tc>
          <w:tcPr>
            <w:tcW w:w="640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180" w:right="0" w:hanging="0"/>
              <w:jc w:val="left"/>
              <w:rPr/>
            </w:pPr>
            <w:r>
              <w:rPr/>
              <w:t> </w:t>
            </w:r>
          </w:p>
        </w:tc>
      </w:tr>
      <w:tr>
        <w:trPr/>
        <w:tc>
          <w:tcPr>
            <w:tcW w:w="640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243"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43"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243"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corporate expenses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9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243" w:type="dxa"/>
            <w:tcBorders/>
            <w:shd w:fill="CCEE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9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3" w:type="dxa"/>
            <w:tcBorders/>
            <w:shd w:fill="FFFFFF" w:val="clear"/>
            <w:vAlign w:val="center"/>
          </w:tcPr>
          <w:p>
            <w:pPr>
              <w:pStyle w:val="TableContents"/>
              <w:bidi w:val="0"/>
              <w:spacing w:before="0" w:after="283"/>
              <w:ind w:left="180" w:right="0" w:hanging="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Plant closure expense</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43" w:type="dxa"/>
            <w:tcBorders/>
            <w:shd w:fill="CCEEFF" w:val="clear"/>
            <w:vAlign w:val="center"/>
          </w:tcPr>
          <w:p>
            <w:pPr>
              <w:pStyle w:val="TableContents"/>
              <w:bidi w:val="0"/>
              <w:spacing w:before="0" w:after="283"/>
              <w:ind w:left="360" w:right="0" w:hanging="0"/>
              <w:jc w:val="left"/>
              <w:rPr>
                <w:rFonts w:ascii="Times New Roman;Times;serif" w:hAnsi="Times New Roman;Times;serif"/>
                <w:sz w:val="20"/>
              </w:rPr>
            </w:pPr>
            <w:r>
              <w:rPr>
                <w:rFonts w:ascii="Times New Roman;Times;serif" w:hAnsi="Times New Roman;Times;serif"/>
                <w:sz w:val="20"/>
              </w:rPr>
              <w:t>%</w:t>
            </w:r>
          </w:p>
        </w:tc>
      </w:tr>
      <w:tr>
        <w:trPr/>
        <w:tc>
          <w:tcPr>
            <w:tcW w:w="6401"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(89.8</w:t>
            </w:r>
          </w:p>
        </w:tc>
        <w:tc>
          <w:tcPr>
            <w:tcW w:w="24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Food Service Segment Results</w:t>
      </w:r>
    </w:p>
    <w:p>
      <w:pPr>
        <w:pStyle w:val="TextBody"/>
        <w:bidi w:val="0"/>
        <w:spacing w:before="0" w:after="0"/>
        <w:ind w:left="0" w:right="0" w:hanging="0"/>
        <w:jc w:val="left"/>
        <w:rPr>
          <w:caps w:val="false"/>
          <w:smallCaps w:val="false"/>
        </w:rPr>
      </w:pPr>
      <w:r>
        <w:rPr>
          <w:caps w:val="false"/>
          <w:smallCaps w:val="false"/>
        </w:rPr>
        <w:t> </w:t>
      </w:r>
    </w:p>
    <w:tbl>
      <w:tblPr>
        <w:tblW w:w="7118" w:type="dxa"/>
        <w:jc w:val="left"/>
        <w:tblInd w:w="0" w:type="dxa"/>
        <w:tblLayout w:type="fixed"/>
        <w:tblCellMar>
          <w:top w:w="0" w:type="dxa"/>
          <w:left w:w="0" w:type="dxa"/>
          <w:bottom w:w="0" w:type="dxa"/>
          <w:right w:w="0" w:type="dxa"/>
        </w:tblCellMar>
      </w:tblPr>
      <w:tblGrid>
        <w:gridCol w:w="3305"/>
        <w:gridCol w:w="60"/>
        <w:gridCol w:w="178"/>
        <w:gridCol w:w="996"/>
        <w:gridCol w:w="60"/>
        <w:gridCol w:w="60"/>
        <w:gridCol w:w="178"/>
        <w:gridCol w:w="996"/>
        <w:gridCol w:w="60"/>
        <w:gridCol w:w="60"/>
        <w:gridCol w:w="123"/>
        <w:gridCol w:w="782"/>
        <w:gridCol w:w="260"/>
      </w:tblGrid>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238,883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 w:type="dxa"/>
            <w:tcBorders/>
            <w:shd w:fill="FFFFFF" w:val="clear"/>
            <w:vAlign w:val="center"/>
          </w:tcPr>
          <w:p>
            <w:pPr>
              <w:pStyle w:val="TableContents"/>
              <w:bidi w:val="0"/>
              <w:spacing w:before="0" w:after="283"/>
              <w:jc w:val="left"/>
              <w:rPr/>
            </w:pPr>
            <w:r>
              <w:rPr/>
              <w:t> </w:t>
            </w:r>
          </w:p>
        </w:tc>
        <w:tc>
          <w:tcPr>
            <w:tcW w:w="782"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Food Service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ind w:left="0" w:right="0" w:hanging="0"/>
              <w:jc w:val="left"/>
              <w:rPr/>
            </w:pPr>
            <w:r>
              <w:rPr/>
              <w:t> </w:t>
            </w:r>
          </w:p>
        </w:tc>
        <w:tc>
          <w:tcPr>
            <w:tcW w:w="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food service customers decreased $19.7 million, or 8.3%, to $219.2 million for the three months ended December 27, 2025. The largest driver of the decrease were sales of bakery products, which decreased by $18.2 million, or 16.8%, with the decrease largely attributable to the impact of the sales portfolio optimization aspect of our Project Apollo initiative on some of our lower-margin bakery SKUs. Additionally, sales of handhelds decreased $5.3 million, or 22.3%, with the decrease attributable to lower comparative volumes on our core handhelds, as well as contractual pricing true-ups on the lower costing of certain raw material ingredients. Slightly offsetting these decreases were soft pretzels sales to food service customers, which increased $3.6 million, or 6.9%, with the increase largely attributable to volume increases seen within the category on our key brands, a continuation of the trend seen in the second half of our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new products in the first twelve months since their introduction were minimal in the three months ended December 27, 2025. Low-mid single-digit net pricing increases were more than offset by the net volume declines, primarily attributable to the sales portfolio optimization aspect of our Project Apollo initiative.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Food Service segment increased $1.3 million, or 14.6%, to $10.1 million, for the three months ended December 27, 2025, which reflected the efficiencies and benefits of the optimization of our manufacturing footprint seen within gross profit, offset by the unfavorable impact of some of the volume declines that were mostly attributable to the sales portfolio optimization aspect of Project Apollo.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Retail Supermarket Segment Results</w:t>
      </w:r>
    </w:p>
    <w:p>
      <w:pPr>
        <w:pStyle w:val="TextBody"/>
        <w:bidi w:val="0"/>
        <w:spacing w:before="0" w:after="0"/>
        <w:ind w:left="0" w:right="0" w:hanging="0"/>
        <w:jc w:val="left"/>
        <w:rPr>
          <w:caps w:val="false"/>
          <w:smallCaps w:val="false"/>
        </w:rPr>
      </w:pPr>
      <w:r>
        <w:rPr>
          <w:caps w:val="false"/>
          <w:smallCaps w:val="false"/>
        </w:rPr>
        <w:t> </w:t>
      </w:r>
    </w:p>
    <w:tbl>
      <w:tblPr>
        <w:tblW w:w="7613" w:type="dxa"/>
        <w:jc w:val="left"/>
        <w:tblInd w:w="0" w:type="dxa"/>
        <w:tblLayout w:type="fixed"/>
        <w:tblCellMar>
          <w:top w:w="0" w:type="dxa"/>
          <w:left w:w="0" w:type="dxa"/>
          <w:bottom w:w="0" w:type="dxa"/>
          <w:right w:w="0" w:type="dxa"/>
        </w:tblCellMar>
      </w:tblPr>
      <w:tblGrid>
        <w:gridCol w:w="3800"/>
        <w:gridCol w:w="60"/>
        <w:gridCol w:w="204"/>
        <w:gridCol w:w="970"/>
        <w:gridCol w:w="60"/>
        <w:gridCol w:w="60"/>
        <w:gridCol w:w="204"/>
        <w:gridCol w:w="970"/>
        <w:gridCol w:w="60"/>
        <w:gridCol w:w="60"/>
        <w:gridCol w:w="137"/>
        <w:gridCol w:w="768"/>
        <w:gridCol w:w="26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7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8"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 Supermarket operating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7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of products to retail customers increased $1.2 million, or 2.6%, to $45.9 million for the three months ended December 27, 2025, with the increase largely driven by a $1.8 million, or 35% increase in handheld sales. The increase in handheld sales was primarily attributable to a significant increase in comparative volumes as prior year volumes were negatively impacted by the fire at our Holly Ridge location and the resulting delays in production during the prior year quarter. Sales of new products in retail supermarkets were approximately $0.5 million in the three months ended December 27, 2025. Low-mid single-digit net price increases drove the increase in retail supermarket sales in the quarter as sales volumes in the quarter across the segment were materially flat, with net volume decreases across other product categories materially offsetting the handheld volume increases.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Retail Supermarkets segment was $1.2 million in both the three months ended December 27, 2025 and the three months ended December 28,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Frozen Beverages Segment Results</w:t>
      </w:r>
    </w:p>
    <w:p>
      <w:pPr>
        <w:pStyle w:val="TextBody"/>
        <w:bidi w:val="0"/>
        <w:spacing w:before="0" w:after="0"/>
        <w:ind w:left="0" w:right="0" w:hanging="0"/>
        <w:jc w:val="left"/>
        <w:rPr>
          <w:caps w:val="false"/>
          <w:smallCaps w:val="false"/>
        </w:rPr>
      </w:pPr>
      <w:r>
        <w:rPr>
          <w:caps w:val="false"/>
          <w:smallCaps w:val="false"/>
        </w:rPr>
        <w:t> </w:t>
      </w:r>
    </w:p>
    <w:tbl>
      <w:tblPr>
        <w:tblW w:w="7493" w:type="dxa"/>
        <w:jc w:val="left"/>
        <w:tblInd w:w="0" w:type="dxa"/>
        <w:tblLayout w:type="fixed"/>
        <w:tblCellMar>
          <w:top w:w="0" w:type="dxa"/>
          <w:left w:w="0" w:type="dxa"/>
          <w:bottom w:w="0" w:type="dxa"/>
          <w:right w:w="0" w:type="dxa"/>
        </w:tblCellMar>
      </w:tblPr>
      <w:tblGrid>
        <w:gridCol w:w="3680"/>
        <w:gridCol w:w="60"/>
        <w:gridCol w:w="204"/>
        <w:gridCol w:w="970"/>
        <w:gridCol w:w="60"/>
        <w:gridCol w:w="60"/>
        <w:gridCol w:w="204"/>
        <w:gridCol w:w="970"/>
        <w:gridCol w:w="60"/>
        <w:gridCol w:w="60"/>
        <w:gridCol w:w="108"/>
        <w:gridCol w:w="797"/>
        <w:gridCol w:w="260"/>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9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26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6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8"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center"/>
              <w:rPr/>
            </w:pPr>
            <w:r>
              <w:rPr/>
              <w:t> </w:t>
            </w:r>
          </w:p>
        </w:tc>
        <w:tc>
          <w:tcPr>
            <w:tcW w:w="260"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97"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ind w:left="0" w:right="0" w:hanging="0"/>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sales to external customers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Repair and maintenance service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Machines revenue</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2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2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Frozen Beverages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r>
      <w:tr>
        <w:trPr/>
        <w:tc>
          <w:tcPr>
            <w:tcW w:w="36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Frozen Beverages operating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Frozen beverage and related product sales decreased $0.3 million, or 0.3%, in the three months ended December 27, 2025. Beverage sales increased 0.5% to $44.9 million in the three months ended December 27, 2025, with the slight increase driven by pricing increases, a favorable sales mix and some foreign exchange related tailwinds, mostly offset by a 6% decrease in gallon sales over that period. Service revenue decreased 4.9% to $22.5 million, and machine revenue (primarily sales of frozen beverage machines) increased 6.7% to $10.7 million driven by strong growth from a convenience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income in our Frozen Beverage segment decreased $0.6 million in the quarter to $4.0 million as lower beverage sales volumes negatively impacted leverage across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there are many factors that could impact our operating cash flow, most notably net earnings, we believe that our future operating cash flow, along with our borrowing capacity, our current cash and cash equivalent balances is sufficient to satisfy our cash requirements over the next twelve months and beyond, as well as to fund future growth and expansion.</w:t>
      </w:r>
    </w:p>
    <w:p>
      <w:pPr>
        <w:pStyle w:val="TextBody"/>
        <w:bidi w:val="0"/>
        <w:spacing w:before="0" w:after="0"/>
        <w:ind w:left="0" w:right="0" w:hanging="0"/>
        <w:jc w:val="left"/>
        <w:rPr>
          <w:caps w:val="false"/>
          <w:smallCaps w:val="false"/>
        </w:rPr>
      </w:pPr>
      <w:r>
        <w:rPr>
          <w:caps w:val="false"/>
          <w:smallCaps w:val="false"/>
        </w:rPr>
        <w:t> </w:t>
      </w:r>
    </w:p>
    <w:tbl>
      <w:tblPr>
        <w:tblW w:w="9337" w:type="dxa"/>
        <w:jc w:val="left"/>
        <w:tblInd w:w="0" w:type="dxa"/>
        <w:tblLayout w:type="fixed"/>
        <w:tblCellMar>
          <w:top w:w="0" w:type="dxa"/>
          <w:left w:w="0" w:type="dxa"/>
          <w:bottom w:w="0" w:type="dxa"/>
          <w:right w:w="0" w:type="dxa"/>
        </w:tblCellMar>
      </w:tblPr>
      <w:tblGrid>
        <w:gridCol w:w="6695"/>
        <w:gridCol w:w="60"/>
        <w:gridCol w:w="204"/>
        <w:gridCol w:w="970"/>
        <w:gridCol w:w="88"/>
        <w:gridCol w:w="66"/>
        <w:gridCol w:w="204"/>
        <w:gridCol w:w="970"/>
        <w:gridCol w:w="80"/>
      </w:tblGrid>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0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items in net income:</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of fixed assets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17,241</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intangibles and deferred costs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from disposals of property &amp; equipment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plant shutdown expenses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insurance proceeds received for damage to property, plant, and equipment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net of effects from purchase of companies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14,018</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35,162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increase in depreciation of fixed assets was primarily due to prior year purchases of property, plant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Cash flows associated with changes in assets and liabilities, generated approximately $14.0 million of cash in the three months ended December 27, 2025 compared with $11.3 million in the three months ended December 28, 2024. The net inflow in the three months ended December 27, 2025 was driven primarily by decreases in accounts receivable of $22.9 million and inventory of $1.9 million, offset partially by a decrease in accounts payable, accrued liabilities, and prepaid expenses of $10.8 million. In the prior year period, the net inflow was driven primarily by a decrease in accounts receivable of $25.0 million and inventory of $3.2 million, offset partially by a decrease in accounts payable, accrued liabilities, and prepaid expenses of $16.9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6715" w:type="dxa"/>
        <w:jc w:val="left"/>
        <w:tblInd w:w="0" w:type="dxa"/>
        <w:tblLayout w:type="fixed"/>
        <w:tblCellMar>
          <w:top w:w="0" w:type="dxa"/>
          <w:left w:w="0" w:type="dxa"/>
          <w:bottom w:w="0" w:type="dxa"/>
          <w:right w:w="0" w:type="dxa"/>
        </w:tblCellMar>
      </w:tblPr>
      <w:tblGrid>
        <w:gridCol w:w="4085"/>
        <w:gridCol w:w="60"/>
        <w:gridCol w:w="189"/>
        <w:gridCol w:w="985"/>
        <w:gridCol w:w="81"/>
        <w:gridCol w:w="61"/>
        <w:gridCol w:w="189"/>
        <w:gridCol w:w="985"/>
        <w:gridCol w:w="80"/>
      </w:tblGrid>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ind w:left="0" w:right="0" w:hanging="0"/>
              <w:jc w:val="left"/>
              <w:rPr/>
            </w:pPr>
            <w:r>
              <w:rPr/>
              <w:t> </w:t>
            </w:r>
          </w:p>
        </w:tc>
      </w:tr>
      <w:tr>
        <w:trPr/>
        <w:tc>
          <w:tcPr>
            <w:tcW w:w="40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(19,003</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(19,065</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insurance for fixed assets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w:t>
            </w:r>
          </w:p>
        </w:tc>
        <w:tc>
          <w:tcPr>
            <w:tcW w:w="8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(18,146</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plant and equipment include spending for production growth, in addition to acquiring new equipment, infrastructure replacements, and upgrades to maintain competitive standing and position us for future opportunities. The slight decrease over prior year period was primarily due to the timing of spend.</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6200"/>
        <w:gridCol w:w="60"/>
        <w:gridCol w:w="189"/>
        <w:gridCol w:w="985"/>
        <w:gridCol w:w="81"/>
        <w:gridCol w:w="61"/>
        <w:gridCol w:w="189"/>
        <w:gridCol w:w="985"/>
        <w:gridCol w:w="80"/>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27,</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28,</w:t>
            </w:r>
          </w:p>
        </w:tc>
        <w:tc>
          <w:tcPr>
            <w:tcW w:w="80"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80" w:type="dxa"/>
            <w:tcBorders/>
            <w:vAlign w:val="center"/>
          </w:tcPr>
          <w:p>
            <w:pPr>
              <w:pStyle w:val="TableContents"/>
              <w:bidi w:val="0"/>
              <w:spacing w:before="0" w:after="283"/>
              <w:ind w:left="0" w:right="0" w:hanging="0"/>
              <w:jc w:val="left"/>
              <w:rPr/>
            </w:pPr>
            <w:r>
              <w:rPr/>
              <w:t> </w:t>
            </w:r>
          </w:p>
        </w:tc>
      </w:tr>
      <w:tr>
        <w:trPr/>
        <w:tc>
          <w:tcPr>
            <w:tcW w:w="62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to repurchase common stock</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stock</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vested employee service share units and performance share units</w:t>
            </w:r>
          </w:p>
        </w:tc>
        <w:tc>
          <w:tcPr>
            <w:tcW w:w="6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ind w:left="0" w:right="0" w:hanging="0"/>
              <w:jc w:val="left"/>
              <w:rPr/>
            </w:pPr>
            <w:r>
              <w:rPr/>
              <w:t> </w:t>
            </w:r>
          </w:p>
        </w:tc>
        <w:tc>
          <w:tcPr>
            <w:tcW w:w="98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w:t>
            </w:r>
          </w:p>
        </w:tc>
        <w:tc>
          <w:tcPr>
            <w:tcW w:w="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ind w:left="0" w:right="0" w:hanging="0"/>
              <w:jc w:val="left"/>
              <w:rPr/>
            </w:pPr>
            <w:r>
              <w:rPr/>
              <w:t> </w:t>
            </w:r>
          </w:p>
        </w:tc>
        <w:tc>
          <w:tcPr>
            <w:tcW w:w="98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 under credit facility</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borrowings under credit facility</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finance lease obligations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cash dividend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(15,552</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2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(58,354</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three months ended December 27, 2025, the Company repurchased 458,467 shares of common stock of the Company at an average price of $91.61 per share on the open market, pursuant to the share repurchase program. As of the date of the repurchase, the repurchased shares were retired and returned to the status of authorized but unissued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credit facility and repayment of borrowings under credit facility relate to the Company’s cash draws and repayments made to primarily fund working capital needs and represent the net paydown of borrowings.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increase in payment of cash dividends from prior year period was due to the increase in our quarterly dividend during fiscal 2025, offset somewhat by the reduction in shares outstanding.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December 27, 2025, we had $66.8 million of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December 2021, the Company entered into an amended and restated loan agreement (the “Credit Agreement”) with our existing banks which provided for up to a $50 million revolving credit facility repayable in December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21, 2022, the Company entered into an amendment to the Credit Agreement, the “Amended Credit Agreement” which provided for an incremental increase of $175 million in available borrowings. The Amended Credit Agreement also includes an option to increase the size of the revolving credit facility by up to an amount not to exceed in the aggregate the greater of $225 million or, $50 million plus the Consolidated EBITDA of the Borrowers, subject to the satisfaction of certain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accrues, at the Company’s election at (i) the SOFR Rate (as defined in the Credit Agreement), plus an applicable margin, based upon the Consolidated Net Leverage Ratio, as defined in the Credit Agreement, or (ii) the Alternate Base Rate (a rate based on the higher of (a) the prime rate announced from time-to-time by the Administrative Agent, (b) the Federal Reserve System’s federal funds rate, plus 0.50% or (c) the Daily BSBY Rate, plus an applicable margin). The Alternate Base Rate is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requires the Company to comply with various affirmative and negative covenants, including without limitation (i) covenants to maintain a minimum specified interest coverage ratio and maximum specified net leverage ratio, and (ii) subject to certain exceptions, covenants that prevent or restrict the Company’s ability to pay dividends, engage in certain mergers or acquisitions, make certain investments or loans, incur future indebtedness, alter its capital structure or line of business, prepay subordinated indebtedness, engage in certain transactions with affiliates, or amend its organizational documents. As of December 27, 2025, the Company is in compliance with all financial covenants of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December 27, 2025, and as of September 27, 2025, there was no outstanding balance under the Amended Credit Agreement. As of December 27, 2025, and as of September 27, 2025, the amount available under the Amended Credit Agreement was $210.2 million, after giving effect to the outstanding 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Critical Accounting Policies, Judgments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policies, judgments and estimates from the information provided in Part II, Item 7, Management’s Discussion and Analysis of Financial Condition and Results of Operations - Critical Accounting Policies, Judgments and Estimates, in our Annual Report on Form 10-K for the year ended September 27, 2025, as filed with the SEC on November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material change in the Company’s assessment of its sensitivity to market risk since its presentation set forth, in item 7a. “Quantitative and Qualitative Disclosures About Market Risk,” in our Annual Report on Form 10-K for the year ended September 27, 2025, as filed with the SEC on November 26,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w:t>
      </w:r>
      <w:r>
        <w:rPr>
          <w:rFonts w:ascii="Times New Roman" w:hAnsi="Times New Roman"/>
          <w:b/>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Chief Executive Officer and the Chief Financial Officer of the Company (its principal executive officer and principal financial officer, respectively) have concluded, based on their evaluation as of December 27, 2025, that the Company’s disclosure controls and procedures (as defined in Rule 13a-15(f) under the Exchange Act) are effective to ensure that information required to be disclosed by the Company in the reports filed or submitted by it under the Securities Exchange Act of 1934, as amended, is recorded, processed, summarized and reported within the time periods specified in the SEC’s rules and forms, and include controls and procedures designed to ensure that information required to be disclosed by the Company in such reports is accumulated and communicated to the Company’s management, including the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has been no change in the Company’s internal control over financial reporting (as such term is defined in Rule 13a-15(f) of the Exchange Act) during the quarter ended December 27, 2025,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subject, from time to time, to certain legal proceedings and claims that arise from our business. As of the date of this Quarterly Report on Form 10-Q, the Company does not expect that any such proceedings will have a material adverse effect on the Company’s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information on risk factors, please refer to “Risk Factors” in Part I, Item 1A of the Company’s Form 10-K for the fiscal year ended September 27, 2025. The risks identified in that report have not changed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 Unregistered Sales of Equity Securities and the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tables sets forth repurchases of our common stock during the first quarter of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4"/>
        <w:gridCol w:w="60"/>
        <w:gridCol w:w="94"/>
        <w:gridCol w:w="1093"/>
        <w:gridCol w:w="60"/>
        <w:gridCol w:w="60"/>
        <w:gridCol w:w="94"/>
        <w:gridCol w:w="778"/>
        <w:gridCol w:w="60"/>
        <w:gridCol w:w="60"/>
        <w:gridCol w:w="157"/>
        <w:gridCol w:w="1820"/>
        <w:gridCol w:w="60"/>
        <w:gridCol w:w="60"/>
        <w:gridCol w:w="386"/>
        <w:gridCol w:w="1830"/>
        <w:gridCol w:w="79"/>
      </w:tblGrid>
      <w:tr>
        <w:trPr/>
        <w:tc>
          <w:tcPr>
            <w:tcW w:w="3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Approximate dollar value</w:t>
            </w:r>
          </w:p>
        </w:tc>
        <w:tc>
          <w:tcPr>
            <w:tcW w:w="79" w:type="dxa"/>
            <w:tcBorders/>
            <w:vAlign w:val="center"/>
          </w:tcPr>
          <w:p>
            <w:pPr>
              <w:pStyle w:val="TableContents"/>
              <w:bidi w:val="0"/>
              <w:spacing w:before="0" w:after="283"/>
              <w:jc w:val="left"/>
              <w:rPr/>
            </w:pPr>
            <w:r>
              <w:rPr/>
              <w:t> </w:t>
            </w:r>
          </w:p>
        </w:tc>
      </w:tr>
      <w:tr>
        <w:trPr/>
        <w:tc>
          <w:tcPr>
            <w:tcW w:w="3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as part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 that may yet</w:t>
            </w:r>
          </w:p>
        </w:tc>
        <w:tc>
          <w:tcPr>
            <w:tcW w:w="79" w:type="dxa"/>
            <w:tcBorders/>
            <w:vAlign w:val="center"/>
          </w:tcPr>
          <w:p>
            <w:pPr>
              <w:pStyle w:val="TableContents"/>
              <w:bidi w:val="0"/>
              <w:spacing w:before="0" w:after="283"/>
              <w:jc w:val="left"/>
              <w:rPr/>
            </w:pPr>
            <w:r>
              <w:rPr/>
              <w:t> </w:t>
            </w:r>
          </w:p>
        </w:tc>
      </w:tr>
      <w:tr>
        <w:trPr/>
        <w:tc>
          <w:tcPr>
            <w:tcW w:w="3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 paid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77"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publicly announced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 purchased under</w:t>
            </w:r>
          </w:p>
        </w:tc>
        <w:tc>
          <w:tcPr>
            <w:tcW w:w="79" w:type="dxa"/>
            <w:tcBorders/>
            <w:vAlign w:val="center"/>
          </w:tcPr>
          <w:p>
            <w:pPr>
              <w:pStyle w:val="TableContents"/>
              <w:bidi w:val="0"/>
              <w:spacing w:before="0" w:after="283"/>
              <w:ind w:left="0" w:right="0" w:hanging="0"/>
              <w:jc w:val="left"/>
              <w:rPr/>
            </w:pPr>
            <w:r>
              <w:rPr/>
              <w:t> </w:t>
            </w:r>
          </w:p>
        </w:tc>
      </w:tr>
      <w:tr>
        <w:trPr/>
        <w:tc>
          <w:tcPr>
            <w:tcW w:w="345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vAlign w:val="center"/>
          </w:tcPr>
          <w:p>
            <w:pPr>
              <w:pStyle w:val="TableContents"/>
              <w:bidi w:val="0"/>
              <w:spacing w:before="0" w:after="283"/>
              <w:ind w:left="0" w:right="0" w:hanging="0"/>
              <w:jc w:val="left"/>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purchased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plans or programs (2)</w:t>
            </w:r>
          </w:p>
        </w:tc>
        <w:tc>
          <w:tcPr>
            <w:tcW w:w="79" w:type="dxa"/>
            <w:tcBorders/>
            <w:vAlign w:val="center"/>
          </w:tcPr>
          <w:p>
            <w:pPr>
              <w:pStyle w:val="TableContents"/>
              <w:bidi w:val="0"/>
              <w:spacing w:before="0" w:after="283"/>
              <w:jc w:val="left"/>
              <w:rPr/>
            </w:pPr>
            <w:r>
              <w:rPr/>
              <w:t> </w:t>
            </w:r>
          </w:p>
        </w:tc>
      </w:tr>
      <w:tr>
        <w:trPr/>
        <w:tc>
          <w:tcPr>
            <w:tcW w:w="34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1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79" w:type="dxa"/>
            <w:tcBorders/>
            <w:vAlign w:val="center"/>
          </w:tcPr>
          <w:p>
            <w:pPr>
              <w:pStyle w:val="TableContents"/>
              <w:bidi w:val="0"/>
              <w:spacing w:before="0" w:after="283"/>
              <w:ind w:left="0" w:right="0" w:hanging="0"/>
              <w:jc w:val="left"/>
              <w:rPr/>
            </w:pPr>
            <w:r>
              <w:rPr/>
              <w:t> </w:t>
            </w:r>
          </w:p>
        </w:tc>
      </w:tr>
      <w:tr>
        <w:trPr/>
        <w:tc>
          <w:tcPr>
            <w:tcW w:w="3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28, 2025 to October 25, 2025</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1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79" w:type="dxa"/>
            <w:tcBorders/>
            <w:shd w:fill="CCEEFF" w:val="clear"/>
            <w:vAlign w:val="center"/>
          </w:tcPr>
          <w:p>
            <w:pPr>
              <w:pStyle w:val="TableContents"/>
              <w:bidi w:val="0"/>
              <w:spacing w:before="0" w:after="283"/>
              <w:ind w:left="0" w:right="0" w:hanging="0"/>
              <w:jc w:val="left"/>
              <w:rPr/>
            </w:pPr>
            <w:r>
              <w:rPr/>
              <w:t> </w:t>
            </w:r>
          </w:p>
        </w:tc>
      </w:tr>
      <w:tr>
        <w:trPr/>
        <w:tc>
          <w:tcPr>
            <w:tcW w:w="3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26, 2025 to November 22, 2025</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1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1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28,923</w:t>
            </w:r>
          </w:p>
        </w:tc>
        <w:tc>
          <w:tcPr>
            <w:tcW w:w="79" w:type="dxa"/>
            <w:tcBorders/>
            <w:shd w:fill="FFFFFF" w:val="clear"/>
            <w:vAlign w:val="center"/>
          </w:tcPr>
          <w:p>
            <w:pPr>
              <w:pStyle w:val="TableContents"/>
              <w:bidi w:val="0"/>
              <w:spacing w:before="0" w:after="283"/>
              <w:ind w:left="0" w:right="0" w:hanging="0"/>
              <w:jc w:val="left"/>
              <w:rPr/>
            </w:pPr>
            <w:r>
              <w:rPr/>
              <w:t> </w:t>
            </w:r>
          </w:p>
        </w:tc>
      </w:tr>
      <w:tr>
        <w:trPr/>
        <w:tc>
          <w:tcPr>
            <w:tcW w:w="345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23, 2025 to December 27, 2025</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r>
      <w:tr>
        <w:trPr/>
        <w:tc>
          <w:tcPr>
            <w:tcW w:w="345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 December 27, 2025</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18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9"/>
        <w:gridCol w:w="9946"/>
      </w:tblGrid>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 were 8,131 shares during the period that were not made pursuant to our previously announced stock repurchase program but were purchased to cover taxes associated with the vesting of certain restricted and performance stock units held by officers and employees.</w:t>
            </w:r>
          </w:p>
        </w:tc>
      </w:tr>
      <w:tr>
        <w:trPr/>
        <w:tc>
          <w:tcPr>
            <w:tcW w:w="6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February 3, 2025, the Company announced that the Board of Directors authorized a share repurchase program (the 2025 Share Repurchase Program) pursuant to which the Company could repurchase up to $50.0 million of the Company’s common stock, exclusive of any fees, commissions, and other expenses related to such repurchases. As of December 27, 2025, there is no remaining share repurchase availability under the 2025 Share Repurchase Program.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December 27, 2025,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caps w:val="false"/>
          <w:smallCaps w:val="false"/>
          <w:sz w:val="20"/>
        </w:rPr>
        <w:t>Exhibit No.</w:t>
      </w:r>
    </w:p>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980"/>
        <w:gridCol w:w="5870"/>
      </w:tblGrid>
      <w:tr>
        <w:trPr/>
        <w:tc>
          <w:tcPr>
            <w:tcW w:w="980" w:type="dxa"/>
            <w:tcBorders/>
            <w:vAlign w:val="center"/>
          </w:tcPr>
          <w:p>
            <w:pPr>
              <w:pStyle w:val="TableContents"/>
              <w:bidi w:val="0"/>
              <w:spacing w:before="0" w:after="0"/>
              <w:ind w:left="0" w:right="0" w:hanging="0"/>
              <w:jc w:val="left"/>
              <w:rPr/>
            </w:pPr>
            <w:hyperlink w:anchor="ex_913071.htm">
              <w:r>
                <w:rPr>
                  <w:rStyle w:val="InternetLink"/>
                  <w:rFonts w:ascii="Times New Roman;Times;serif" w:hAnsi="Times New Roman;Times;serif"/>
                  <w:sz w:val="20"/>
                </w:rPr>
                <w:t>31.1</w:t>
              </w:r>
            </w:hyperlink>
            <w:r>
              <w:rPr>
                <w:rFonts w:ascii="Times New Roman;Times;serif" w:hAnsi="Times New Roman;Times;serif"/>
                <w:sz w:val="20"/>
              </w:rPr>
              <w:t xml:space="preserve"> &amp; </w:t>
            </w:r>
            <w:hyperlink w:anchor="ex_913070.htm">
              <w:r>
                <w:rPr>
                  <w:rStyle w:val="InternetLink"/>
                  <w:rFonts w:ascii="Times New Roman;Times;serif" w:hAnsi="Times New Roman;Times;serif"/>
                  <w:sz w:val="20"/>
                </w:rPr>
                <w:t>31.2</w:t>
              </w:r>
            </w:hyperlink>
          </w:p>
        </w:tc>
        <w:tc>
          <w:tcPr>
            <w:tcW w:w="58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 Pursuant to Section 302 of the Sarbanes-Oxley Act of 2002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5"/>
        <w:gridCol w:w="9280"/>
      </w:tblGrid>
      <w:tr>
        <w:trPr/>
        <w:tc>
          <w:tcPr>
            <w:tcW w:w="925" w:type="dxa"/>
            <w:tcBorders/>
            <w:vAlign w:val="center"/>
          </w:tcPr>
          <w:p>
            <w:pPr>
              <w:pStyle w:val="TableContents"/>
              <w:bidi w:val="0"/>
              <w:spacing w:before="0" w:after="0"/>
              <w:ind w:left="0" w:right="0" w:hanging="0"/>
              <w:jc w:val="left"/>
              <w:rPr/>
            </w:pPr>
            <w:hyperlink w:anchor="ex_913069.htm">
              <w:r>
                <w:rPr>
                  <w:rStyle w:val="InternetLink"/>
                  <w:rFonts w:ascii="Times New Roman;Times;serif" w:hAnsi="Times New Roman;Times;serif"/>
                  <w:sz w:val="20"/>
                </w:rPr>
                <w:t>32.1</w:t>
              </w:r>
            </w:hyperlink>
            <w:r>
              <w:rPr>
                <w:rFonts w:ascii="Times New Roman;Times;serif" w:hAnsi="Times New Roman;Times;serif"/>
                <w:sz w:val="20"/>
              </w:rPr>
              <w:t xml:space="preserve"> &amp; </w:t>
            </w:r>
            <w:hyperlink w:anchor="ex_913068.htm">
              <w:r>
                <w:rPr>
                  <w:rStyle w:val="InternetLink"/>
                  <w:rFonts w:ascii="Times New Roman;Times;serif" w:hAnsi="Times New Roman;Times;serif"/>
                  <w:sz w:val="20"/>
                </w:rPr>
                <w:t>32.2</w:t>
              </w:r>
            </w:hyperlink>
          </w:p>
        </w:tc>
        <w:tc>
          <w:tcPr>
            <w:tcW w:w="92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Certification Pursuant to the 18 U.S.C. Section 1350, as Adopted Pursuant to Section 906 of the Sarbanes-Oxley Act of 2002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9720"/>
      </w:tblGrid>
      <w:tr>
        <w:trPr/>
        <w:tc>
          <w:tcPr>
            <w:tcW w:w="48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97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financial information from J&amp;J Snack Foods Corp.'s Quarterly Report on Form 10-Q for the quarter ended December 27, 2025, formatted in Inline XBRL (Inline extensible Business Reporting Language):</w:t>
            </w:r>
          </w:p>
        </w:tc>
      </w:tr>
    </w:tbl>
    <w:p>
      <w:pPr>
        <w:pStyle w:val="TextBody"/>
        <w:bidi w:val="0"/>
        <w:spacing w:before="0" w:after="0"/>
        <w:ind w:left="0" w:right="0" w:hanging="0"/>
        <w:jc w:val="left"/>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60"/>
        <w:gridCol w:w="200"/>
        <w:gridCol w:w="2435"/>
      </w:tblGrid>
      <w:tr>
        <w:trPr/>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c>
          <w:tcPr>
            <w:tcW w:w="24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w:t>
            </w:r>
          </w:p>
        </w:tc>
      </w:tr>
    </w:tbl>
    <w:tbl>
      <w:tblPr>
        <w:tblW w:w="3385" w:type="dxa"/>
        <w:jc w:val="left"/>
        <w:tblInd w:w="0" w:type="dxa"/>
        <w:tblLayout w:type="fixed"/>
        <w:tblCellMar>
          <w:top w:w="0" w:type="dxa"/>
          <w:left w:w="0" w:type="dxa"/>
          <w:bottom w:w="0" w:type="dxa"/>
          <w:right w:w="0" w:type="dxa"/>
        </w:tblCellMar>
      </w:tblPr>
      <w:tblGrid>
        <w:gridCol w:w="60"/>
        <w:gridCol w:w="260"/>
        <w:gridCol w:w="3065"/>
      </w:tblGrid>
      <w:tr>
        <w:trPr/>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c>
          <w:tcPr>
            <w:tcW w:w="3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Earnings,</w:t>
            </w:r>
          </w:p>
        </w:tc>
      </w:tr>
    </w:tbl>
    <w:tbl>
      <w:tblPr>
        <w:tblW w:w="4645" w:type="dxa"/>
        <w:jc w:val="left"/>
        <w:tblInd w:w="0" w:type="dxa"/>
        <w:tblLayout w:type="fixed"/>
        <w:tblCellMar>
          <w:top w:w="0" w:type="dxa"/>
          <w:left w:w="0" w:type="dxa"/>
          <w:bottom w:w="0" w:type="dxa"/>
          <w:right w:w="0" w:type="dxa"/>
        </w:tblCellMar>
      </w:tblPr>
      <w:tblGrid>
        <w:gridCol w:w="60"/>
        <w:gridCol w:w="320"/>
        <w:gridCol w:w="4265"/>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c>
          <w:tcPr>
            <w:tcW w:w="4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Comprehensive Income,</w:t>
            </w:r>
          </w:p>
        </w:tc>
      </w:tr>
    </w:tbl>
    <w:tbl>
      <w:tblPr>
        <w:tblW w:w="3985" w:type="dxa"/>
        <w:jc w:val="left"/>
        <w:tblInd w:w="0" w:type="dxa"/>
        <w:tblLayout w:type="fixed"/>
        <w:tblCellMar>
          <w:top w:w="0" w:type="dxa"/>
          <w:left w:w="0" w:type="dxa"/>
          <w:bottom w:w="0" w:type="dxa"/>
          <w:right w:w="0" w:type="dxa"/>
        </w:tblCellMar>
      </w:tblPr>
      <w:tblGrid>
        <w:gridCol w:w="60"/>
        <w:gridCol w:w="305"/>
        <w:gridCol w:w="3620"/>
      </w:tblGrid>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(iv)</w:t>
            </w:r>
          </w:p>
        </w:tc>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and</w:t>
            </w:r>
          </w:p>
        </w:tc>
      </w:tr>
    </w:tbl>
    <w:tbl>
      <w:tblPr>
        <w:tblW w:w="4480" w:type="dxa"/>
        <w:jc w:val="left"/>
        <w:tblInd w:w="0" w:type="dxa"/>
        <w:tblLayout w:type="fixed"/>
        <w:tblCellMar>
          <w:top w:w="0" w:type="dxa"/>
          <w:left w:w="0" w:type="dxa"/>
          <w:bottom w:w="0" w:type="dxa"/>
          <w:right w:w="0" w:type="dxa"/>
        </w:tblCellMar>
      </w:tblPr>
      <w:tblGrid>
        <w:gridCol w:w="60"/>
        <w:gridCol w:w="245"/>
        <w:gridCol w:w="417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w:t>
            </w:r>
          </w:p>
        </w:tc>
        <w:tc>
          <w:tcPr>
            <w:tcW w:w="41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Notes to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335"/>
        <w:gridCol w:w="7400"/>
      </w:tblGrid>
      <w:tr>
        <w:trPr/>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74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containing in Exhibit 101)</w:t>
            </w:r>
          </w:p>
        </w:tc>
      </w:tr>
    </w:tbl>
    <w:p>
      <w:pPr>
        <w:pStyle w:val="TextBody"/>
        <w:bidi w:val="0"/>
        <w:spacing w:before="0" w:after="0"/>
        <w:ind w:left="1080" w:right="0" w:hanging="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55" w:type="dxa"/>
        <w:jc w:val="left"/>
        <w:tblInd w:w="0" w:type="dxa"/>
        <w:tblLayout w:type="fixed"/>
        <w:tblCellMar>
          <w:top w:w="0" w:type="dxa"/>
          <w:left w:w="0" w:type="dxa"/>
          <w:bottom w:w="0" w:type="dxa"/>
          <w:right w:w="0" w:type="dxa"/>
        </w:tblCellMar>
      </w:tblPr>
      <w:tblGrid>
        <w:gridCol w:w="1985"/>
        <w:gridCol w:w="4010"/>
        <w:gridCol w:w="60"/>
      </w:tblGrid>
      <w:tr>
        <w:trPr/>
        <w:tc>
          <w:tcPr>
            <w:tcW w:w="1985" w:type="dxa"/>
            <w:tcBorders/>
          </w:tcPr>
          <w:p>
            <w:pPr>
              <w:pStyle w:val="TableContents"/>
              <w:bidi w:val="0"/>
              <w:spacing w:before="0" w:after="0"/>
              <w:ind w:left="0" w:right="0" w:hanging="0"/>
              <w:jc w:val="left"/>
              <w:rPr/>
            </w:pPr>
            <w:r>
              <w:rPr/>
              <w:t> </w:t>
            </w:r>
          </w:p>
        </w:tc>
        <w:tc>
          <w:tcPr>
            <w:tcW w:w="401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 &amp; J SNACK FOODS CORP.</w:t>
            </w:r>
          </w:p>
        </w:tc>
        <w:tc>
          <w:tcPr>
            <w:tcW w:w="60" w:type="dxa"/>
            <w:tcBorders/>
          </w:tcPr>
          <w:p>
            <w:pPr>
              <w:pStyle w:val="TableContents"/>
              <w:bidi w:val="0"/>
              <w:spacing w:before="0" w:after="0"/>
              <w:ind w:left="0" w:right="0" w:hanging="0"/>
              <w:jc w:val="left"/>
              <w:rPr/>
            </w:pPr>
            <w:r>
              <w:rPr/>
              <w:t> </w:t>
            </w:r>
          </w:p>
        </w:tc>
      </w:tr>
      <w:tr>
        <w:trPr/>
        <w:tc>
          <w:tcPr>
            <w:tcW w:w="1985" w:type="dxa"/>
            <w:tcBorders/>
          </w:tcPr>
          <w:p>
            <w:pPr>
              <w:pStyle w:val="TableContents"/>
              <w:bidi w:val="0"/>
              <w:spacing w:before="0" w:after="0"/>
              <w:ind w:left="0" w:right="0" w:hanging="0"/>
              <w:jc w:val="left"/>
              <w:rPr/>
            </w:pPr>
            <w:r>
              <w:rPr/>
              <w:t> </w:t>
            </w:r>
          </w:p>
        </w:tc>
        <w:tc>
          <w:tcPr>
            <w:tcW w:w="4010"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1985" w:type="dxa"/>
            <w:tcBorders/>
          </w:tcPr>
          <w:p>
            <w:pPr>
              <w:pStyle w:val="TableContents"/>
              <w:bidi w:val="0"/>
              <w:spacing w:before="0" w:after="0"/>
              <w:ind w:left="0" w:right="0" w:hanging="0"/>
              <w:jc w:val="left"/>
              <w:rPr/>
            </w:pPr>
            <w:r>
              <w:rPr/>
              <w:t> </w:t>
            </w:r>
          </w:p>
        </w:tc>
        <w:tc>
          <w:tcPr>
            <w:tcW w:w="4010"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198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5, 2026</w:t>
            </w:r>
          </w:p>
        </w:tc>
        <w:tc>
          <w:tcPr>
            <w:tcW w:w="401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 Fachner</w:t>
            </w:r>
          </w:p>
        </w:tc>
        <w:tc>
          <w:tcPr>
            <w:tcW w:w="60" w:type="dxa"/>
            <w:tcBorders/>
          </w:tcPr>
          <w:p>
            <w:pPr>
              <w:pStyle w:val="TableContents"/>
              <w:bidi w:val="0"/>
              <w:spacing w:before="0" w:after="0"/>
              <w:ind w:left="0" w:right="0" w:hanging="0"/>
              <w:jc w:val="left"/>
              <w:rPr/>
            </w:pPr>
            <w:r>
              <w:rPr/>
              <w:t> </w:t>
            </w:r>
          </w:p>
        </w:tc>
      </w:tr>
      <w:tr>
        <w:trPr/>
        <w:tc>
          <w:tcPr>
            <w:tcW w:w="1985" w:type="dxa"/>
            <w:tcBorders/>
          </w:tcPr>
          <w:p>
            <w:pPr>
              <w:pStyle w:val="TableContents"/>
              <w:bidi w:val="0"/>
              <w:spacing w:before="0" w:after="0"/>
              <w:ind w:left="0" w:right="0" w:hanging="0"/>
              <w:jc w:val="left"/>
              <w:rPr/>
            </w:pPr>
            <w:r>
              <w:rPr/>
              <w:t> </w:t>
            </w:r>
          </w:p>
        </w:tc>
        <w:tc>
          <w:tcPr>
            <w:tcW w:w="401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 Fachner</w:t>
            </w:r>
          </w:p>
        </w:tc>
        <w:tc>
          <w:tcPr>
            <w:tcW w:w="60" w:type="dxa"/>
            <w:tcBorders/>
          </w:tcPr>
          <w:p>
            <w:pPr>
              <w:pStyle w:val="TableContents"/>
              <w:bidi w:val="0"/>
              <w:spacing w:before="0" w:after="0"/>
              <w:ind w:left="0" w:right="0" w:hanging="0"/>
              <w:jc w:val="left"/>
              <w:rPr/>
            </w:pPr>
            <w:r>
              <w:rPr/>
              <w:t> </w:t>
            </w:r>
          </w:p>
        </w:tc>
      </w:tr>
      <w:tr>
        <w:trPr/>
        <w:tc>
          <w:tcPr>
            <w:tcW w:w="1985" w:type="dxa"/>
            <w:tcBorders/>
          </w:tcPr>
          <w:p>
            <w:pPr>
              <w:pStyle w:val="TableContents"/>
              <w:bidi w:val="0"/>
              <w:spacing w:before="0" w:after="0"/>
              <w:ind w:left="0" w:right="0" w:hanging="0"/>
              <w:jc w:val="left"/>
              <w:rPr/>
            </w:pPr>
            <w:r>
              <w:rPr/>
              <w:t> </w:t>
            </w:r>
          </w:p>
        </w:tc>
        <w:tc>
          <w:tcPr>
            <w:tcW w:w="401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c>
          <w:tcPr>
            <w:tcW w:w="60" w:type="dxa"/>
            <w:tcBorders/>
          </w:tcPr>
          <w:p>
            <w:pPr>
              <w:pStyle w:val="TableContents"/>
              <w:bidi w:val="0"/>
              <w:spacing w:before="0" w:after="0"/>
              <w:ind w:left="0" w:right="0" w:hanging="0"/>
              <w:jc w:val="left"/>
              <w:rPr/>
            </w:pPr>
            <w:r>
              <w:rPr/>
              <w:t> </w:t>
            </w:r>
          </w:p>
        </w:tc>
      </w:tr>
      <w:tr>
        <w:trPr/>
        <w:tc>
          <w:tcPr>
            <w:tcW w:w="1985" w:type="dxa"/>
            <w:tcBorders/>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(Principal Executive Officer)</w:t>
            </w:r>
          </w:p>
        </w:tc>
        <w:tc>
          <w:tcPr>
            <w:tcW w:w="60" w:type="dxa"/>
            <w:tcBorders/>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4555" w:type="dxa"/>
        <w:jc w:val="left"/>
        <w:tblInd w:w="0" w:type="dxa"/>
        <w:tblLayout w:type="fixed"/>
        <w:tblCellMar>
          <w:top w:w="0" w:type="dxa"/>
          <w:left w:w="0" w:type="dxa"/>
          <w:bottom w:w="0" w:type="dxa"/>
          <w:right w:w="0" w:type="dxa"/>
        </w:tblCellMar>
      </w:tblPr>
      <w:tblGrid>
        <w:gridCol w:w="2000"/>
        <w:gridCol w:w="2480"/>
        <w:gridCol w:w="75"/>
      </w:tblGrid>
      <w:tr>
        <w:trPr/>
        <w:tc>
          <w:tcPr>
            <w:tcW w:w="2000" w:type="dxa"/>
            <w:tcBorders/>
          </w:tcPr>
          <w:p>
            <w:pPr>
              <w:pStyle w:val="TableContents"/>
              <w:bidi w:val="0"/>
              <w:spacing w:before="0" w:after="0"/>
              <w:ind w:left="0" w:right="0" w:hanging="0"/>
              <w:jc w:val="left"/>
              <w:rPr/>
            </w:pPr>
            <w:r>
              <w:rPr/>
              <w:t> </w:t>
            </w:r>
          </w:p>
        </w:tc>
        <w:tc>
          <w:tcPr>
            <w:tcW w:w="24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2480" w:type="dxa"/>
            <w:tcBorders/>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2480" w:type="dxa"/>
            <w:tcBorders/>
            <w:vAlign w:val="bottom"/>
          </w:tcPr>
          <w:p>
            <w:pPr>
              <w:pStyle w:val="TableContents"/>
              <w:bidi w:val="0"/>
              <w:spacing w:before="0" w:after="0"/>
              <w:ind w:left="0" w:right="0" w:hanging="0"/>
              <w:jc w:val="left"/>
              <w:rPr/>
            </w:pPr>
            <w:r>
              <w:rPr/>
              <w:t> </w:t>
            </w:r>
          </w:p>
        </w:tc>
        <w:tc>
          <w:tcPr>
            <w:tcW w:w="75"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February 5, 2026</w:t>
            </w:r>
          </w:p>
        </w:tc>
        <w:tc>
          <w:tcPr>
            <w:tcW w:w="2480"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Shawn Munsell</w:t>
            </w:r>
          </w:p>
        </w:tc>
        <w:tc>
          <w:tcPr>
            <w:tcW w:w="75"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24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Shawn Munsell, Senior Vice</w:t>
            </w:r>
          </w:p>
        </w:tc>
        <w:tc>
          <w:tcPr>
            <w:tcW w:w="75"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0"/>
              <w:ind w:left="0" w:right="0" w:hanging="0"/>
              <w:jc w:val="left"/>
              <w:rPr/>
            </w:pPr>
            <w:r>
              <w:rPr/>
              <w:t> </w:t>
            </w:r>
          </w:p>
        </w:tc>
        <w:tc>
          <w:tcPr>
            <w:tcW w:w="24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Financial</w:t>
            </w:r>
          </w:p>
        </w:tc>
        <w:tc>
          <w:tcPr>
            <w:tcW w:w="75" w:type="dxa"/>
            <w:tcBorders/>
          </w:tcPr>
          <w:p>
            <w:pPr>
              <w:pStyle w:val="TableContents"/>
              <w:bidi w:val="0"/>
              <w:spacing w:before="0" w:after="0"/>
              <w:ind w:left="0" w:right="0" w:hanging="0"/>
              <w:jc w:val="left"/>
              <w:rPr/>
            </w:pPr>
            <w:r>
              <w:rPr/>
              <w:t> </w:t>
            </w:r>
          </w:p>
        </w:tc>
      </w:tr>
      <w:tr>
        <w:trPr/>
        <w:tc>
          <w:tcPr>
            <w:tcW w:w="2000" w:type="dxa"/>
            <w:tcBorders/>
          </w:tcPr>
          <w:p>
            <w:pPr>
              <w:pStyle w:val="TableContents"/>
              <w:bidi w:val="0"/>
              <w:spacing w:before="0" w:after="283"/>
              <w:jc w:val="left"/>
              <w:rPr/>
            </w:pPr>
            <w:r>
              <w:rPr/>
              <w:t> </w:t>
            </w:r>
          </w:p>
        </w:tc>
        <w:tc>
          <w:tcPr>
            <w:tcW w:w="2480"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w:t>
            </w:r>
          </w:p>
        </w:tc>
        <w:tc>
          <w:tcPr>
            <w:tcW w:w="75" w:type="dxa"/>
            <w:tcBorders/>
          </w:tcPr>
          <w:p>
            <w:pPr>
              <w:pStyle w:val="TableContents"/>
              <w:bidi w:val="0"/>
              <w:spacing w:before="0" w:after="283"/>
              <w:jc w:val="left"/>
              <w:rPr/>
            </w:pPr>
            <w:r>
              <w:rPr/>
              <w:t> </w:t>
            </w:r>
          </w:p>
        </w:tc>
      </w:tr>
      <w:tr>
        <w:trPr/>
        <w:tc>
          <w:tcPr>
            <w:tcW w:w="2000" w:type="dxa"/>
            <w:tcBorders/>
          </w:tcPr>
          <w:p>
            <w:pPr>
              <w:pStyle w:val="TableContents"/>
              <w:bidi w:val="0"/>
              <w:spacing w:before="0" w:after="283"/>
              <w:jc w:val="left"/>
              <w:rPr/>
            </w:pPr>
            <w:r>
              <w:rPr/>
              <w:t> </w:t>
            </w:r>
          </w:p>
        </w:tc>
        <w:tc>
          <w:tcPr>
            <w:tcW w:w="2480"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c>
          <w:tcPr>
            <w:tcW w:w="75" w:type="dxa"/>
            <w:tcBorders/>
          </w:tcPr>
          <w:p>
            <w:pPr>
              <w:pStyle w:val="TableContents"/>
              <w:bidi w:val="0"/>
              <w:spacing w:before="0" w:after="283"/>
              <w:jc w:val="left"/>
              <w:rPr/>
            </w:pPr>
            <w:r>
              <w:rPr/>
              <w:t> </w:t>
            </w:r>
          </w:p>
        </w:tc>
      </w:tr>
      <w:tr>
        <w:trPr/>
        <w:tc>
          <w:tcPr>
            <w:tcW w:w="2000" w:type="dxa"/>
            <w:tcBorders/>
          </w:tcPr>
          <w:p>
            <w:pPr>
              <w:pStyle w:val="TableContents"/>
              <w:bidi w:val="0"/>
              <w:spacing w:before="0" w:after="283"/>
              <w:jc w:val="left"/>
              <w:rPr/>
            </w:pPr>
            <w:r>
              <w:rPr/>
              <w:t> </w:t>
            </w:r>
          </w:p>
        </w:tc>
        <w:tc>
          <w:tcPr>
            <w:tcW w:w="2480" w:type="dxa"/>
            <w:tcBorders/>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Accounting Officer)</w:t>
            </w:r>
          </w:p>
        </w:tc>
        <w:tc>
          <w:tcPr>
            <w:tcW w:w="75"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31</w:t>
      </w:r>
    </w:p>
    <w:p>
      <w:pPr>
        <w:pStyle w:val="TextBody"/>
        <w:bidi w:val="0"/>
        <w:spacing w:before="0" w:after="0"/>
        <w:ind w:left="0" w:right="0" w:hanging="0"/>
        <w:jc w:val="left"/>
        <w:rPr>
          <w:rFonts w:ascii="Times New Roman" w:hAnsi="Times New Roman"/>
          <w:b/>
          <w:caps w:val="false"/>
          <w:smallCaps w:val="false"/>
          <w:sz w:val="20"/>
        </w:rPr>
      </w:pPr>
      <w:bookmarkStart w:id="2" w:name="ex_913071.htm"/>
      <w:bookmarkStart w:id="3" w:name="ksex_913071"/>
      <w:bookmarkEnd w:id="2"/>
      <w:bookmarkEnd w:id="3"/>
      <w:r>
        <w:rPr>
          <w:rFonts w:ascii="Times New Roman" w:hAnsi="Times New Roman"/>
          <w:b/>
          <w:caps w:val="false"/>
          <w:smallCaps w:val="false"/>
          <w:sz w:val="20"/>
        </w:rPr>
        <w:t xml:space="preserve">Exhibit 31.1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Dan Fachner,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5, 2026</w:t>
      </w:r>
    </w:p>
    <w:p>
      <w:pPr>
        <w:pStyle w:val="TextBody"/>
        <w:bidi w:val="0"/>
        <w:spacing w:before="0" w:after="0"/>
        <w:ind w:left="0" w:right="0" w:hanging="0"/>
        <w:jc w:val="left"/>
        <w:rPr>
          <w:caps w:val="false"/>
          <w:smallCaps w:val="false"/>
        </w:rPr>
      </w:pPr>
      <w:r>
        <w:rPr>
          <w:caps w:val="false"/>
          <w:smallCaps w:val="false"/>
        </w:rPr>
        <w:t> </w:t>
      </w:r>
    </w:p>
    <w:tbl>
      <w:tblPr>
        <w:tblW w:w="3560" w:type="dxa"/>
        <w:jc w:val="left"/>
        <w:tblInd w:w="0" w:type="dxa"/>
        <w:tblLayout w:type="fixed"/>
        <w:tblCellMar>
          <w:top w:w="0" w:type="dxa"/>
          <w:left w:w="0" w:type="dxa"/>
          <w:bottom w:w="0" w:type="dxa"/>
          <w:right w:w="0" w:type="dxa"/>
        </w:tblCellMar>
      </w:tblPr>
      <w:tblGrid>
        <w:gridCol w:w="75"/>
        <w:gridCol w:w="3410"/>
        <w:gridCol w:w="75"/>
      </w:tblGrid>
      <w:tr>
        <w:trPr/>
        <w:tc>
          <w:tcPr>
            <w:tcW w:w="75" w:type="dxa"/>
            <w:tcBorders/>
            <w:vAlign w:val="center"/>
          </w:tcPr>
          <w:p>
            <w:pPr>
              <w:pStyle w:val="TableContents"/>
              <w:bidi w:val="0"/>
              <w:spacing w:before="0" w:after="283"/>
              <w:jc w:val="left"/>
              <w:rPr/>
            </w:pPr>
            <w:r>
              <w:rPr/>
              <w:t> </w:t>
            </w:r>
          </w:p>
        </w:tc>
        <w:tc>
          <w:tcPr>
            <w:tcW w:w="341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 Fachner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 Fachner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President, and Chief Executive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4" w:name="ex_913070.htm"/>
      <w:bookmarkStart w:id="5" w:name="ksex_913070"/>
      <w:bookmarkEnd w:id="4"/>
      <w:bookmarkEnd w:id="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302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Shawn Munsell,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1.        I have reviewed this report on Form 10-Q of J &amp; J Snack Foods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5, 2026</w:t>
      </w:r>
    </w:p>
    <w:p>
      <w:pPr>
        <w:pStyle w:val="TextBody"/>
        <w:bidi w:val="0"/>
        <w:spacing w:before="0" w:after="0"/>
        <w:ind w:left="0" w:right="0" w:hanging="0"/>
        <w:jc w:val="left"/>
        <w:rPr>
          <w:caps w:val="false"/>
          <w:smallCaps w:val="false"/>
        </w:rPr>
      </w:pPr>
      <w:r>
        <w:rPr>
          <w:caps w:val="false"/>
          <w:smallCaps w:val="false"/>
        </w:rPr>
        <w:t> </w:t>
      </w:r>
    </w:p>
    <w:tbl>
      <w:tblPr>
        <w:tblW w:w="2630" w:type="dxa"/>
        <w:jc w:val="left"/>
        <w:tblInd w:w="0" w:type="dxa"/>
        <w:tblLayout w:type="fixed"/>
        <w:tblCellMar>
          <w:top w:w="0" w:type="dxa"/>
          <w:left w:w="0" w:type="dxa"/>
          <w:bottom w:w="0" w:type="dxa"/>
          <w:right w:w="0" w:type="dxa"/>
        </w:tblCellMar>
      </w:tblPr>
      <w:tblGrid>
        <w:gridCol w:w="75"/>
        <w:gridCol w:w="2480"/>
        <w:gridCol w:w="75"/>
      </w:tblGrid>
      <w:tr>
        <w:trPr/>
        <w:tc>
          <w:tcPr>
            <w:tcW w:w="75" w:type="dxa"/>
            <w:tcBorders/>
            <w:vAlign w:val="center"/>
          </w:tcPr>
          <w:p>
            <w:pPr>
              <w:pStyle w:val="TableContents"/>
              <w:bidi w:val="0"/>
              <w:spacing w:before="0" w:after="283"/>
              <w:jc w:val="left"/>
              <w:rPr/>
            </w:pPr>
            <w:r>
              <w:rPr/>
              <w:t> </w:t>
            </w:r>
          </w:p>
        </w:tc>
        <w:tc>
          <w:tcPr>
            <w:tcW w:w="248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Shawn Munsell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Shawn Munsell, Senior Vice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Financial</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6" w:name="ex_913069.htm"/>
      <w:bookmarkStart w:id="7" w:name="ksex_913069"/>
      <w:bookmarkEnd w:id="6"/>
      <w:bookmarkEnd w:id="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to the best of their knowledge, with respect to the Quarterly Report of the Company on Form 10-Q for the quarter ended December 27, 2025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February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60" w:type="dxa"/>
        <w:jc w:val="left"/>
        <w:tblInd w:w="0" w:type="dxa"/>
        <w:tblLayout w:type="fixed"/>
        <w:tblCellMar>
          <w:top w:w="0" w:type="dxa"/>
          <w:left w:w="0" w:type="dxa"/>
          <w:bottom w:w="0" w:type="dxa"/>
          <w:right w:w="0" w:type="dxa"/>
        </w:tblCellMar>
      </w:tblPr>
      <w:tblGrid>
        <w:gridCol w:w="75"/>
        <w:gridCol w:w="3410"/>
        <w:gridCol w:w="75"/>
      </w:tblGrid>
      <w:tr>
        <w:trPr/>
        <w:tc>
          <w:tcPr>
            <w:tcW w:w="75" w:type="dxa"/>
            <w:tcBorders/>
            <w:vAlign w:val="center"/>
          </w:tcPr>
          <w:p>
            <w:pPr>
              <w:pStyle w:val="TableContents"/>
              <w:bidi w:val="0"/>
              <w:spacing w:before="0" w:after="283"/>
              <w:jc w:val="left"/>
              <w:rPr/>
            </w:pPr>
            <w:r>
              <w:rPr/>
              <w:t> </w:t>
            </w:r>
          </w:p>
        </w:tc>
        <w:tc>
          <w:tcPr>
            <w:tcW w:w="341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 Fachner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 Fachner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President, and Chief Executive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8" w:name="ex_913068.htm"/>
      <w:bookmarkStart w:id="9" w:name="ksex_913068"/>
      <w:bookmarkEnd w:id="8"/>
      <w:bookmarkEnd w:id="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Section 906 of the Sarbanes-Oxley Act of 2002 (Section 1350 of Chapter 63 of Title 18 of the United States Code), each of the undersigned officers of J &amp; J Snack Foods Corp. (the “Company”), does hereby certify, to the best of their knowledge, with respect to the Quarterly Report of the Company on Form 10-Q for the quarter ended December 27, 2025 (the “Report”) that: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 February 5, 2026</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75"/>
        <w:gridCol w:w="3020"/>
        <w:gridCol w:w="75"/>
      </w:tblGrid>
      <w:tr>
        <w:trPr/>
        <w:tc>
          <w:tcPr>
            <w:tcW w:w="75" w:type="dxa"/>
            <w:tcBorders/>
            <w:vAlign w:val="center"/>
          </w:tcPr>
          <w:p>
            <w:pPr>
              <w:pStyle w:val="TableContents"/>
              <w:bidi w:val="0"/>
              <w:spacing w:before="0" w:after="283"/>
              <w:jc w:val="left"/>
              <w:rPr/>
            </w:pPr>
            <w:r>
              <w:rPr/>
              <w:t> </w:t>
            </w:r>
          </w:p>
        </w:tc>
        <w:tc>
          <w:tcPr>
            <w:tcW w:w="3020"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Shawn Munsell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Shawn Munsell, Senior Vice</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Financial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Officer)</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Accounting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15624</Words>
  <Characters>85539</Characters>
  <CharactersWithSpaces>104351</CharactersWithSpaces>
  <Paragraphs>7621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