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jjsf20250329_10q.htm"/>
      <w:bookmarkStart w:id="1" w:name="ksjjsf20250329_10q"/>
      <w:bookmarkEnd w:id="0"/>
      <w:bookmarkEnd w:id="1"/>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230"/>
        <w:gridCol w:w="7160"/>
      </w:tblGrid>
      <w:tr>
        <w:trPr/>
        <w:tc>
          <w:tcPr>
            <w:tcW w:w="230" w:type="dxa"/>
            <w:tcBorders/>
            <w:vAlign w:val="center"/>
          </w:tcPr>
          <w:p>
            <w:pPr>
              <w:pStyle w:val="TableContents"/>
              <w:bidi w:val="0"/>
              <w:spacing w:before="0" w:after="0"/>
              <w:ind w:left="0" w:right="0" w:hanging="0"/>
              <w:jc w:val="left"/>
              <w:rPr/>
            </w:pPr>
            <w:r>
              <w:rPr/>
              <w:t>☒</w:t>
            </w:r>
          </w:p>
        </w:tc>
        <w:tc>
          <w:tcPr>
            <w:tcW w:w="71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tbl>
      <w:tblPr>
        <w:tblW w:w="3095" w:type="dxa"/>
        <w:jc w:val="left"/>
        <w:tblInd w:w="0" w:type="dxa"/>
        <w:tblLayout w:type="fixed"/>
        <w:tblCellMar>
          <w:top w:w="0" w:type="dxa"/>
          <w:left w:w="0" w:type="dxa"/>
          <w:bottom w:w="0" w:type="dxa"/>
          <w:right w:w="0" w:type="dxa"/>
        </w:tblCellMar>
      </w:tblPr>
      <w:tblGrid>
        <w:gridCol w:w="60"/>
        <w:gridCol w:w="3035"/>
      </w:tblGrid>
      <w:tr>
        <w:trPr/>
        <w:tc>
          <w:tcPr>
            <w:tcW w:w="60" w:type="dxa"/>
            <w:tcBorders/>
            <w:vAlign w:val="center"/>
          </w:tcPr>
          <w:p>
            <w:pPr>
              <w:pStyle w:val="TableContents"/>
              <w:bidi w:val="0"/>
              <w:spacing w:before="0" w:after="0"/>
              <w:ind w:left="0" w:right="0" w:hanging="0"/>
              <w:jc w:val="left"/>
              <w:rPr/>
            </w:pPr>
            <w:r>
              <w:rPr/>
              <w:t> </w:t>
            </w:r>
          </w:p>
        </w:tc>
        <w:tc>
          <w:tcPr>
            <w:tcW w:w="3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period ended March 29,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230"/>
        <w:gridCol w:w="7235"/>
      </w:tblGrid>
      <w:tr>
        <w:trPr/>
        <w:tc>
          <w:tcPr>
            <w:tcW w:w="230" w:type="dxa"/>
            <w:tcBorders/>
            <w:vAlign w:val="center"/>
          </w:tcPr>
          <w:p>
            <w:pPr>
              <w:pStyle w:val="TableContents"/>
              <w:bidi w:val="0"/>
              <w:spacing w:before="0" w:after="0"/>
              <w:ind w:left="0" w:right="0" w:hanging="0"/>
              <w:jc w:val="left"/>
              <w:rPr/>
            </w:pPr>
            <w:r>
              <w:rPr/>
              <w:t>☐</w:t>
            </w:r>
          </w:p>
        </w:tc>
        <w:tc>
          <w:tcPr>
            <w:tcW w:w="7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tbl>
      <w:tblPr>
        <w:tblW w:w="3815" w:type="dxa"/>
        <w:jc w:val="left"/>
        <w:tblInd w:w="0" w:type="dxa"/>
        <w:tblLayout w:type="fixed"/>
        <w:tblCellMar>
          <w:top w:w="0" w:type="dxa"/>
          <w:left w:w="0" w:type="dxa"/>
          <w:bottom w:w="0" w:type="dxa"/>
          <w:right w:w="0" w:type="dxa"/>
        </w:tblCellMar>
      </w:tblPr>
      <w:tblGrid>
        <w:gridCol w:w="60"/>
        <w:gridCol w:w="3755"/>
      </w:tblGrid>
      <w:tr>
        <w:trPr/>
        <w:tc>
          <w:tcPr>
            <w:tcW w:w="60" w:type="dxa"/>
            <w:tcBorders/>
            <w:vAlign w:val="center"/>
          </w:tcPr>
          <w:p>
            <w:pPr>
              <w:pStyle w:val="TableContents"/>
              <w:bidi w:val="0"/>
              <w:spacing w:before="0" w:after="0"/>
              <w:ind w:left="0" w:right="0" w:hanging="0"/>
              <w:jc w:val="left"/>
              <w:rPr/>
            </w:pPr>
            <w:r>
              <w:rPr/>
              <w:t> </w:t>
            </w:r>
          </w:p>
        </w:tc>
        <w:tc>
          <w:tcPr>
            <w:tcW w:w="37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transition period from _____ to 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0-14616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J&amp;J SNACK FOODS CORP.</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5600"/>
        <w:gridCol w:w="3440"/>
      </w:tblGrid>
      <w:tr>
        <w:trPr/>
        <w:tc>
          <w:tcPr>
            <w:tcW w:w="5600" w:type="dxa"/>
            <w:tcBorders/>
            <w:vAlign w:val="center"/>
          </w:tcPr>
          <w:p>
            <w:pPr>
              <w:pStyle w:val="TableContents"/>
              <w:bidi w:val="0"/>
              <w:spacing w:before="0" w:after="283"/>
              <w:jc w:val="center"/>
              <w:rPr>
                <w:b/>
              </w:rPr>
            </w:pPr>
            <w:r>
              <w:rPr>
                <w:b/>
              </w:rPr>
              <w:t>New Jersey</w:t>
            </w:r>
          </w:p>
        </w:tc>
        <w:tc>
          <w:tcPr>
            <w:tcW w:w="3440" w:type="dxa"/>
            <w:tcBorders/>
            <w:vAlign w:val="center"/>
          </w:tcPr>
          <w:p>
            <w:pPr>
              <w:pStyle w:val="TableContents"/>
              <w:bidi w:val="0"/>
              <w:spacing w:before="0" w:after="283"/>
              <w:jc w:val="center"/>
              <w:rPr>
                <w:b/>
              </w:rPr>
            </w:pPr>
            <w:r>
              <w:rPr>
                <w:b/>
              </w:rPr>
              <w:t>22-1935537</w:t>
            </w:r>
          </w:p>
        </w:tc>
      </w:tr>
      <w:tr>
        <w:trPr/>
        <w:tc>
          <w:tcPr>
            <w:tcW w:w="5600" w:type="dxa"/>
            <w:tcBorders/>
            <w:vAlign w:val="center"/>
          </w:tcPr>
          <w:p>
            <w:pPr>
              <w:pStyle w:val="TableContents"/>
              <w:bidi w:val="0"/>
              <w:spacing w:before="0" w:after="283"/>
              <w:jc w:val="center"/>
              <w:rPr/>
            </w:pPr>
            <w:r>
              <w:rPr/>
              <w:t>(State or other jurisdiction of incorporation or organization)</w:t>
            </w:r>
          </w:p>
        </w:tc>
        <w:tc>
          <w:tcPr>
            <w:tcW w:w="3440" w:type="dxa"/>
            <w:tcBorders/>
            <w:vAlign w:val="center"/>
          </w:tcPr>
          <w:p>
            <w:pPr>
              <w:pStyle w:val="TableContents"/>
              <w:bidi w:val="0"/>
              <w:spacing w:before="0" w:after="283"/>
              <w:jc w:val="center"/>
              <w:rPr/>
            </w:pPr>
            <w:r>
              <w:rPr/>
              <w:t>(I.R.S. Employer Identification No.)</w:t>
            </w:r>
          </w:p>
        </w:tc>
      </w:tr>
      <w:tr>
        <w:trPr/>
        <w:tc>
          <w:tcPr>
            <w:tcW w:w="5600" w:type="dxa"/>
            <w:tcBorders/>
            <w:vAlign w:val="center"/>
          </w:tcPr>
          <w:p>
            <w:pPr>
              <w:pStyle w:val="TableContents"/>
              <w:bidi w:val="0"/>
              <w:spacing w:before="0" w:after="283"/>
              <w:jc w:val="center"/>
              <w:rPr/>
            </w:pPr>
            <w:r>
              <w:rPr/>
              <w:t> </w:t>
            </w:r>
          </w:p>
        </w:tc>
        <w:tc>
          <w:tcPr>
            <w:tcW w:w="3440" w:type="dxa"/>
            <w:tcBorders/>
            <w:vAlign w:val="center"/>
          </w:tcPr>
          <w:p>
            <w:pPr>
              <w:pStyle w:val="TableContents"/>
              <w:bidi w:val="0"/>
              <w:spacing w:before="0" w:after="283"/>
              <w:jc w:val="center"/>
              <w:rPr/>
            </w:pPr>
            <w:r>
              <w:rPr/>
              <w:t> </w:t>
            </w:r>
          </w:p>
        </w:tc>
      </w:tr>
      <w:tr>
        <w:trPr/>
        <w:tc>
          <w:tcPr>
            <w:tcW w:w="5600" w:type="dxa"/>
            <w:tcBorders/>
            <w:vAlign w:val="center"/>
          </w:tcPr>
          <w:p>
            <w:pPr>
              <w:pStyle w:val="TableContents"/>
              <w:bidi w:val="0"/>
              <w:spacing w:before="0" w:after="283"/>
              <w:jc w:val="center"/>
              <w:rPr/>
            </w:pPr>
            <w:r>
              <w:rPr/>
              <w:t> </w:t>
            </w:r>
          </w:p>
        </w:tc>
        <w:tc>
          <w:tcPr>
            <w:tcW w:w="3440" w:type="dxa"/>
            <w:tcBorders/>
            <w:vAlign w:val="center"/>
          </w:tcPr>
          <w:p>
            <w:pPr>
              <w:pStyle w:val="TableContents"/>
              <w:bidi w:val="0"/>
              <w:spacing w:before="0" w:after="283"/>
              <w:jc w:val="center"/>
              <w:rPr/>
            </w:pPr>
            <w:r>
              <w:rPr/>
              <w:t> </w:t>
            </w:r>
          </w:p>
        </w:tc>
      </w:tr>
      <w:tr>
        <w:trPr/>
        <w:tc>
          <w:tcPr>
            <w:tcW w:w="5600" w:type="dxa"/>
            <w:tcBorders/>
            <w:vAlign w:val="center"/>
          </w:tcPr>
          <w:p>
            <w:pPr>
              <w:pStyle w:val="TableContents"/>
              <w:bidi w:val="0"/>
              <w:spacing w:before="0" w:after="283"/>
              <w:jc w:val="center"/>
              <w:rPr>
                <w:b/>
              </w:rPr>
            </w:pPr>
            <w:r>
              <w:rPr>
                <w:b/>
              </w:rPr>
              <w:t>350 Fellowship Road,</w:t>
            </w:r>
          </w:p>
        </w:tc>
        <w:tc>
          <w:tcPr>
            <w:tcW w:w="3440" w:type="dxa"/>
            <w:tcBorders/>
            <w:vAlign w:val="center"/>
          </w:tcPr>
          <w:p>
            <w:pPr>
              <w:pStyle w:val="TableContents"/>
              <w:bidi w:val="0"/>
              <w:spacing w:before="0" w:after="283"/>
              <w:jc w:val="center"/>
              <w:rPr>
                <w:b/>
              </w:rPr>
            </w:pPr>
            <w:r>
              <w:rPr>
                <w:b/>
              </w:rPr>
              <w:t>08054</w:t>
            </w:r>
          </w:p>
        </w:tc>
      </w:tr>
      <w:tr>
        <w:trPr/>
        <w:tc>
          <w:tcPr>
            <w:tcW w:w="5600" w:type="dxa"/>
            <w:tcBorders/>
            <w:vAlign w:val="center"/>
          </w:tcPr>
          <w:p>
            <w:pPr>
              <w:pStyle w:val="TableContents"/>
              <w:bidi w:val="0"/>
              <w:spacing w:before="0" w:after="283"/>
              <w:jc w:val="center"/>
              <w:rPr>
                <w:b/>
              </w:rPr>
            </w:pPr>
            <w:r>
              <w:rPr>
                <w:b/>
              </w:rPr>
              <w:t>Mt. Laurel, New Jersey</w:t>
            </w:r>
          </w:p>
        </w:tc>
        <w:tc>
          <w:tcPr>
            <w:tcW w:w="3440" w:type="dxa"/>
            <w:tcBorders/>
            <w:vAlign w:val="center"/>
          </w:tcPr>
          <w:p>
            <w:pPr>
              <w:pStyle w:val="TableContents"/>
              <w:bidi w:val="0"/>
              <w:spacing w:before="0" w:after="283"/>
              <w:jc w:val="center"/>
              <w:rPr/>
            </w:pPr>
            <w:r>
              <w:rPr/>
              <w:t>(Zip code)</w:t>
            </w:r>
          </w:p>
        </w:tc>
      </w:tr>
      <w:tr>
        <w:trPr/>
        <w:tc>
          <w:tcPr>
            <w:tcW w:w="5600" w:type="dxa"/>
            <w:tcBorders/>
            <w:vAlign w:val="center"/>
          </w:tcPr>
          <w:p>
            <w:pPr>
              <w:pStyle w:val="TableContents"/>
              <w:bidi w:val="0"/>
              <w:spacing w:before="0" w:after="283"/>
              <w:jc w:val="center"/>
              <w:rPr/>
            </w:pPr>
            <w:r>
              <w:rPr/>
              <w:t>(Address of principal executive offices)</w:t>
            </w:r>
          </w:p>
        </w:tc>
        <w:tc>
          <w:tcPr>
            <w:tcW w:w="344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(856) 665-9533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7680" w:type="dxa"/>
        <w:jc w:val="left"/>
        <w:tblInd w:w="0" w:type="dxa"/>
        <w:tblLayout w:type="fixed"/>
        <w:tblCellMar>
          <w:top w:w="0" w:type="dxa"/>
          <w:left w:w="0" w:type="dxa"/>
          <w:bottom w:w="28" w:type="dxa"/>
          <w:right w:w="0" w:type="dxa"/>
        </w:tblCellMar>
      </w:tblPr>
      <w:tblGrid>
        <w:gridCol w:w="2375"/>
        <w:gridCol w:w="1415"/>
        <w:gridCol w:w="3890"/>
      </w:tblGrid>
      <w:tr>
        <w:trPr/>
        <w:tc>
          <w:tcPr>
            <w:tcW w:w="237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41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389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3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14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JJSF</w:t>
            </w:r>
          </w:p>
        </w:tc>
        <w:tc>
          <w:tcPr>
            <w:tcW w:w="389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330" w:type="dxa"/>
        <w:jc w:val="left"/>
        <w:tblInd w:w="0" w:type="dxa"/>
        <w:tblLayout w:type="fixed"/>
        <w:tblCellMar>
          <w:top w:w="0" w:type="dxa"/>
          <w:left w:w="0" w:type="dxa"/>
          <w:bottom w:w="0" w:type="dxa"/>
          <w:right w:w="0" w:type="dxa"/>
        </w:tblCellMar>
      </w:tblPr>
      <w:tblGrid>
        <w:gridCol w:w="2255"/>
        <w:gridCol w:w="230"/>
        <w:gridCol w:w="2615"/>
        <w:gridCol w:w="230"/>
      </w:tblGrid>
      <w:tr>
        <w:trPr/>
        <w:tc>
          <w:tcPr>
            <w:tcW w:w="225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30" w:type="dxa"/>
            <w:tcBorders/>
            <w:vAlign w:val="center"/>
          </w:tcPr>
          <w:p>
            <w:pPr>
              <w:pStyle w:val="TableContents"/>
              <w:bidi w:val="0"/>
              <w:spacing w:before="0" w:after="283"/>
              <w:jc w:val="left"/>
              <w:rPr/>
            </w:pPr>
            <w:r>
              <w:rPr/>
              <w:t>☐</w:t>
            </w:r>
          </w:p>
        </w:tc>
      </w:tr>
      <w:tr>
        <w:trPr/>
        <w:tc>
          <w:tcPr>
            <w:tcW w:w="225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30" w:type="dxa"/>
            <w:tcBorders/>
            <w:vAlign w:val="center"/>
          </w:tcPr>
          <w:p>
            <w:pPr>
              <w:pStyle w:val="TableContents"/>
              <w:bidi w:val="0"/>
              <w:spacing w:before="0" w:after="283"/>
              <w:jc w:val="left"/>
              <w:rPr/>
            </w:pPr>
            <w:r>
              <w:rPr/>
              <w:t>☐</w:t>
            </w:r>
          </w:p>
        </w:tc>
      </w:tr>
      <w:tr>
        <w:trPr/>
        <w:tc>
          <w:tcPr>
            <w:tcW w:w="22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the number of shares outstanding of each of the issuer’s classes of common stock, as of the latest practicable date.</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2375"/>
        <w:gridCol w:w="2585"/>
      </w:tblGrid>
      <w:tr>
        <w:trPr/>
        <w:tc>
          <w:tcPr>
            <w:tcW w:w="237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Class</w:t>
            </w:r>
          </w:p>
        </w:tc>
        <w:tc>
          <w:tcPr>
            <w:tcW w:w="258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Outstanding as of May 2, 2025</w:t>
            </w:r>
          </w:p>
        </w:tc>
      </w:tr>
      <w:tr>
        <w:trPr/>
        <w:tc>
          <w:tcPr>
            <w:tcW w:w="23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25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19,455,491 shares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firstLine="23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7"/>
        <w:gridCol w:w="8572"/>
        <w:gridCol w:w="666"/>
      </w:tblGrid>
      <w:tr>
        <w:trPr/>
        <w:tc>
          <w:tcPr>
            <w:tcW w:w="967" w:type="dxa"/>
            <w:tcBorders/>
            <w:vAlign w:val="center"/>
          </w:tcPr>
          <w:p>
            <w:pPr>
              <w:pStyle w:val="TableContents"/>
              <w:bidi w:val="0"/>
              <w:spacing w:before="0" w:after="283"/>
              <w:jc w:val="left"/>
              <w:rPr/>
            </w:pPr>
            <w:r>
              <w:rPr/>
              <w:t> </w:t>
            </w:r>
          </w:p>
        </w:tc>
        <w:tc>
          <w:tcPr>
            <w:tcW w:w="8572"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Page </w:t>
            </w:r>
          </w:p>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Number</w:t>
            </w:r>
          </w:p>
        </w:tc>
      </w:tr>
      <w:tr>
        <w:trPr/>
        <w:tc>
          <w:tcPr>
            <w:tcW w:w="9539" w:type="dxa"/>
            <w:gridSpan w:val="2"/>
            <w:tcBorders/>
            <w:shd w:fill="CCEEFF" w:val="clear"/>
            <w:vAlign w:val="center"/>
          </w:tcPr>
          <w:p>
            <w:pPr>
              <w:pStyle w:val="TableContents"/>
              <w:bidi w:val="0"/>
              <w:spacing w:before="0" w:after="283"/>
              <w:jc w:val="left"/>
              <w:rPr/>
            </w:pPr>
            <w:r>
              <w:rPr/>
              <w:t>Part I.          Financial Information</w:t>
            </w:r>
          </w:p>
        </w:tc>
        <w:tc>
          <w:tcPr>
            <w:tcW w:w="666" w:type="dxa"/>
            <w:tcBorders/>
            <w:shd w:fill="CCEEFF" w:val="clear"/>
            <w:vAlign w:val="center"/>
          </w:tcPr>
          <w:p>
            <w:pPr>
              <w:pStyle w:val="TableContents"/>
              <w:bidi w:val="0"/>
              <w:spacing w:before="0" w:after="283"/>
              <w:jc w:val="left"/>
              <w:rPr/>
            </w:pPr>
            <w:r>
              <w:rPr/>
              <w:t> </w:t>
            </w:r>
          </w:p>
        </w:tc>
      </w:tr>
      <w:tr>
        <w:trPr/>
        <w:tc>
          <w:tcPr>
            <w:tcW w:w="967" w:type="dxa"/>
            <w:tcBorders/>
            <w:shd w:fill="FFFFFF" w:val="clear"/>
            <w:vAlign w:val="center"/>
          </w:tcPr>
          <w:p>
            <w:pPr>
              <w:pStyle w:val="TableContents"/>
              <w:bidi w:val="0"/>
              <w:spacing w:before="0" w:after="283"/>
              <w:jc w:val="left"/>
              <w:rPr/>
            </w:pPr>
            <w:r>
              <w:rPr/>
              <w:t> </w:t>
            </w:r>
          </w:p>
        </w:tc>
        <w:tc>
          <w:tcPr>
            <w:tcW w:w="857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967" w:type="dxa"/>
            <w:tcBorders/>
            <w:shd w:fill="CCEEFF" w:val="clear"/>
            <w:vAlign w:val="center"/>
          </w:tcPr>
          <w:p>
            <w:pPr>
              <w:pStyle w:val="TableContents"/>
              <w:bidi w:val="0"/>
              <w:spacing w:before="0" w:after="283"/>
              <w:jc w:val="left"/>
              <w:rPr/>
            </w:pPr>
            <w:r>
              <w:rPr/>
              <w:t>Item l.</w:t>
            </w:r>
          </w:p>
        </w:tc>
        <w:tc>
          <w:tcPr>
            <w:tcW w:w="8572" w:type="dxa"/>
            <w:tcBorders/>
            <w:shd w:fill="CCEEFF" w:val="clear"/>
            <w:vAlign w:val="center"/>
          </w:tcPr>
          <w:p>
            <w:pPr>
              <w:pStyle w:val="TableContents"/>
              <w:bidi w:val="0"/>
              <w:spacing w:before="0" w:after="283"/>
              <w:jc w:val="left"/>
              <w:rPr/>
            </w:pPr>
            <w:r>
              <w:rPr/>
              <w:t>Consolidated Financial Statements</w:t>
            </w:r>
          </w:p>
        </w:tc>
        <w:tc>
          <w:tcPr>
            <w:tcW w:w="666" w:type="dxa"/>
            <w:tcBorders/>
            <w:shd w:fill="CCEEFF" w:val="clear"/>
            <w:vAlign w:val="center"/>
          </w:tcPr>
          <w:p>
            <w:pPr>
              <w:pStyle w:val="TableContents"/>
              <w:bidi w:val="0"/>
              <w:spacing w:before="0" w:after="283"/>
              <w:jc w:val="left"/>
              <w:rPr/>
            </w:pPr>
            <w:r>
              <w:rPr/>
              <w:t> </w:t>
            </w:r>
          </w:p>
        </w:tc>
      </w:tr>
      <w:tr>
        <w:trPr/>
        <w:tc>
          <w:tcPr>
            <w:tcW w:w="967" w:type="dxa"/>
            <w:tcBorders/>
            <w:shd w:fill="FFFFFF" w:val="clear"/>
            <w:vAlign w:val="center"/>
          </w:tcPr>
          <w:p>
            <w:pPr>
              <w:pStyle w:val="TableContents"/>
              <w:bidi w:val="0"/>
              <w:spacing w:before="0" w:after="283"/>
              <w:jc w:val="left"/>
              <w:rPr/>
            </w:pPr>
            <w:r>
              <w:rPr/>
              <w:t> </w:t>
            </w:r>
          </w:p>
        </w:tc>
        <w:tc>
          <w:tcPr>
            <w:tcW w:w="857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9539" w:type="dxa"/>
            <w:gridSpan w:val="2"/>
            <w:tcBorders/>
            <w:shd w:fill="CCEEFF" w:val="clear"/>
            <w:vAlign w:val="center"/>
          </w:tcPr>
          <w:p>
            <w:pPr>
              <w:pStyle w:val="TableContents"/>
              <w:bidi w:val="0"/>
              <w:spacing w:before="0" w:after="283"/>
              <w:jc w:val="left"/>
              <w:rPr/>
            </w:pPr>
            <w:r>
              <w:rPr/>
              <w:t>Consolidated Balance Sheets – March 29, 2025 (unaudited) and September 28, 2024</w:t>
            </w:r>
          </w:p>
        </w:tc>
        <w:tc>
          <w:tcPr>
            <w:tcW w:w="666" w:type="dxa"/>
            <w:tcBorders/>
            <w:shd w:fill="CCEEFF" w:val="clear"/>
            <w:vAlign w:val="center"/>
          </w:tcPr>
          <w:p>
            <w:pPr>
              <w:pStyle w:val="TableContents"/>
              <w:bidi w:val="0"/>
              <w:spacing w:before="0" w:after="283"/>
              <w:jc w:val="left"/>
              <w:rPr/>
            </w:pPr>
            <w:r>
              <w:rPr/>
              <w:t>3</w:t>
            </w:r>
          </w:p>
        </w:tc>
      </w:tr>
      <w:tr>
        <w:trPr/>
        <w:tc>
          <w:tcPr>
            <w:tcW w:w="9539" w:type="dxa"/>
            <w:gridSpan w:val="2"/>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9539" w:type="dxa"/>
            <w:gridSpan w:val="2"/>
            <w:tcBorders/>
            <w:shd w:fill="CCEEFF" w:val="clear"/>
            <w:vAlign w:val="center"/>
          </w:tcPr>
          <w:p>
            <w:pPr>
              <w:pStyle w:val="TableContents"/>
              <w:bidi w:val="0"/>
              <w:spacing w:before="0" w:after="283"/>
              <w:jc w:val="left"/>
              <w:rPr/>
            </w:pPr>
            <w:r>
              <w:rPr/>
              <w:t>Consolidated Statements of Earnings (unaudited) - Three and Six Months Ended March 29, 2025 and March 30, 2024</w:t>
            </w:r>
          </w:p>
        </w:tc>
        <w:tc>
          <w:tcPr>
            <w:tcW w:w="666" w:type="dxa"/>
            <w:tcBorders/>
            <w:shd w:fill="CCEEFF" w:val="clear"/>
            <w:vAlign w:val="center"/>
          </w:tcPr>
          <w:p>
            <w:pPr>
              <w:pStyle w:val="TableContents"/>
              <w:bidi w:val="0"/>
              <w:spacing w:before="0" w:after="283"/>
              <w:jc w:val="left"/>
              <w:rPr/>
            </w:pPr>
            <w:r>
              <w:rPr/>
              <w:t>4</w:t>
            </w:r>
          </w:p>
        </w:tc>
      </w:tr>
      <w:tr>
        <w:trPr/>
        <w:tc>
          <w:tcPr>
            <w:tcW w:w="9539" w:type="dxa"/>
            <w:gridSpan w:val="2"/>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9539" w:type="dxa"/>
            <w:gridSpan w:val="2"/>
            <w:tcBorders/>
            <w:shd w:fill="CCEEFF" w:val="clear"/>
            <w:vAlign w:val="center"/>
          </w:tcPr>
          <w:p>
            <w:pPr>
              <w:pStyle w:val="TableContents"/>
              <w:bidi w:val="0"/>
              <w:spacing w:before="0" w:after="283"/>
              <w:jc w:val="left"/>
              <w:rPr/>
            </w:pPr>
            <w:r>
              <w:rPr/>
              <w:t>Consolidated Statements of Comprehensive Income (unaudited)– Three and Six Months Ended March 29, 2025 and March 30, 2024</w:t>
            </w:r>
          </w:p>
        </w:tc>
        <w:tc>
          <w:tcPr>
            <w:tcW w:w="666" w:type="dxa"/>
            <w:tcBorders/>
            <w:shd w:fill="CCEEFF" w:val="clear"/>
            <w:vAlign w:val="center"/>
          </w:tcPr>
          <w:p>
            <w:pPr>
              <w:pStyle w:val="TableContents"/>
              <w:bidi w:val="0"/>
              <w:spacing w:before="0" w:after="283"/>
              <w:jc w:val="left"/>
              <w:rPr/>
            </w:pPr>
            <w:r>
              <w:rPr/>
              <w:t>5</w:t>
            </w:r>
          </w:p>
        </w:tc>
      </w:tr>
      <w:tr>
        <w:trPr/>
        <w:tc>
          <w:tcPr>
            <w:tcW w:w="9539" w:type="dxa"/>
            <w:gridSpan w:val="2"/>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9539" w:type="dxa"/>
            <w:gridSpan w:val="2"/>
            <w:tcBorders/>
            <w:shd w:fill="CCEEFF" w:val="clear"/>
            <w:vAlign w:val="center"/>
          </w:tcPr>
          <w:p>
            <w:pPr>
              <w:pStyle w:val="TableContents"/>
              <w:bidi w:val="0"/>
              <w:spacing w:before="0" w:after="283"/>
              <w:jc w:val="left"/>
              <w:rPr/>
            </w:pPr>
            <w:r>
              <w:rPr/>
              <w:t>Consolidated Statements of Changes In Stockholders’ Equity (unaudited) – Three and Six Months Ended March 29, 2025 and March 30, 2024</w:t>
            </w:r>
          </w:p>
        </w:tc>
        <w:tc>
          <w:tcPr>
            <w:tcW w:w="666" w:type="dxa"/>
            <w:tcBorders/>
            <w:shd w:fill="CCEEFF" w:val="clear"/>
            <w:vAlign w:val="center"/>
          </w:tcPr>
          <w:p>
            <w:pPr>
              <w:pStyle w:val="TableContents"/>
              <w:bidi w:val="0"/>
              <w:spacing w:before="0" w:after="283"/>
              <w:jc w:val="left"/>
              <w:rPr/>
            </w:pPr>
            <w:r>
              <w:rPr/>
              <w:t>6</w:t>
            </w:r>
          </w:p>
        </w:tc>
      </w:tr>
      <w:tr>
        <w:trPr/>
        <w:tc>
          <w:tcPr>
            <w:tcW w:w="9539" w:type="dxa"/>
            <w:gridSpan w:val="2"/>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9539" w:type="dxa"/>
            <w:gridSpan w:val="2"/>
            <w:tcBorders/>
            <w:shd w:fill="CCEEFF" w:val="clear"/>
            <w:vAlign w:val="center"/>
          </w:tcPr>
          <w:p>
            <w:pPr>
              <w:pStyle w:val="TableContents"/>
              <w:bidi w:val="0"/>
              <w:spacing w:before="0" w:after="283"/>
              <w:jc w:val="left"/>
              <w:rPr/>
            </w:pPr>
            <w:r>
              <w:rPr/>
              <w:t>Consolidated Statements of Cash Flows (unaudited)– Three and Six Months Ended March 29, 2025 and March 30, 2024</w:t>
            </w:r>
          </w:p>
        </w:tc>
        <w:tc>
          <w:tcPr>
            <w:tcW w:w="666" w:type="dxa"/>
            <w:tcBorders/>
            <w:shd w:fill="CCEEFF" w:val="clear"/>
            <w:vAlign w:val="center"/>
          </w:tcPr>
          <w:p>
            <w:pPr>
              <w:pStyle w:val="TableContents"/>
              <w:bidi w:val="0"/>
              <w:spacing w:before="0" w:after="283"/>
              <w:jc w:val="left"/>
              <w:rPr/>
            </w:pPr>
            <w:r>
              <w:rPr/>
              <w:t>7</w:t>
            </w:r>
          </w:p>
        </w:tc>
      </w:tr>
      <w:tr>
        <w:trPr/>
        <w:tc>
          <w:tcPr>
            <w:tcW w:w="9539" w:type="dxa"/>
            <w:gridSpan w:val="2"/>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9539" w:type="dxa"/>
            <w:gridSpan w:val="2"/>
            <w:tcBorders/>
            <w:shd w:fill="CCEEFF" w:val="clear"/>
            <w:vAlign w:val="center"/>
          </w:tcPr>
          <w:p>
            <w:pPr>
              <w:pStyle w:val="TableContents"/>
              <w:bidi w:val="0"/>
              <w:spacing w:before="0" w:after="283"/>
              <w:jc w:val="left"/>
              <w:rPr/>
            </w:pPr>
            <w:r>
              <w:rPr/>
              <w:t>Notes to the Consolidated Financial Statements (unaudited)</w:t>
            </w:r>
          </w:p>
        </w:tc>
        <w:tc>
          <w:tcPr>
            <w:tcW w:w="666" w:type="dxa"/>
            <w:tcBorders/>
            <w:shd w:fill="CCEEFF" w:val="clear"/>
            <w:vAlign w:val="center"/>
          </w:tcPr>
          <w:p>
            <w:pPr>
              <w:pStyle w:val="TableContents"/>
              <w:bidi w:val="0"/>
              <w:spacing w:before="0" w:after="283"/>
              <w:jc w:val="left"/>
              <w:rPr/>
            </w:pPr>
            <w:r>
              <w:rPr/>
              <w:t>8</w:t>
            </w:r>
          </w:p>
        </w:tc>
      </w:tr>
      <w:tr>
        <w:trPr/>
        <w:tc>
          <w:tcPr>
            <w:tcW w:w="9539" w:type="dxa"/>
            <w:gridSpan w:val="2"/>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967" w:type="dxa"/>
            <w:tcBorders/>
            <w:shd w:fill="CCEEFF" w:val="clear"/>
            <w:vAlign w:val="center"/>
          </w:tcPr>
          <w:p>
            <w:pPr>
              <w:pStyle w:val="TableContents"/>
              <w:bidi w:val="0"/>
              <w:spacing w:before="0" w:after="283"/>
              <w:jc w:val="left"/>
              <w:rPr/>
            </w:pPr>
            <w:r>
              <w:rPr/>
              <w:t>Item 2.</w:t>
            </w:r>
          </w:p>
        </w:tc>
        <w:tc>
          <w:tcPr>
            <w:tcW w:w="8572" w:type="dxa"/>
            <w:tcBorders/>
            <w:shd w:fill="CCEEFF" w:val="clear"/>
            <w:vAlign w:val="center"/>
          </w:tcPr>
          <w:p>
            <w:pPr>
              <w:pStyle w:val="TableContents"/>
              <w:bidi w:val="0"/>
              <w:spacing w:before="0" w:after="283"/>
              <w:jc w:val="left"/>
              <w:rPr/>
            </w:pPr>
            <w:r>
              <w:rPr/>
              <w:t>Management’s Discussion and Analysis of Financial Condition and Results of Operations</w:t>
            </w:r>
          </w:p>
        </w:tc>
        <w:tc>
          <w:tcPr>
            <w:tcW w:w="666" w:type="dxa"/>
            <w:tcBorders/>
            <w:shd w:fill="CCEEFF" w:val="clear"/>
            <w:vAlign w:val="center"/>
          </w:tcPr>
          <w:p>
            <w:pPr>
              <w:pStyle w:val="TableContents"/>
              <w:bidi w:val="0"/>
              <w:spacing w:before="0" w:after="283"/>
              <w:jc w:val="left"/>
              <w:rPr/>
            </w:pPr>
            <w:r>
              <w:rPr/>
              <w:t>20</w:t>
            </w:r>
          </w:p>
        </w:tc>
      </w:tr>
      <w:tr>
        <w:trPr/>
        <w:tc>
          <w:tcPr>
            <w:tcW w:w="967" w:type="dxa"/>
            <w:tcBorders/>
            <w:shd w:fill="FFFFFF" w:val="clear"/>
            <w:vAlign w:val="center"/>
          </w:tcPr>
          <w:p>
            <w:pPr>
              <w:pStyle w:val="TableContents"/>
              <w:bidi w:val="0"/>
              <w:spacing w:before="0" w:after="283"/>
              <w:jc w:val="left"/>
              <w:rPr/>
            </w:pPr>
            <w:r>
              <w:rPr/>
              <w:t> </w:t>
            </w:r>
          </w:p>
        </w:tc>
        <w:tc>
          <w:tcPr>
            <w:tcW w:w="857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967" w:type="dxa"/>
            <w:tcBorders/>
            <w:shd w:fill="CCEEFF" w:val="clear"/>
            <w:vAlign w:val="center"/>
          </w:tcPr>
          <w:p>
            <w:pPr>
              <w:pStyle w:val="TableContents"/>
              <w:bidi w:val="0"/>
              <w:spacing w:before="0" w:after="283"/>
              <w:jc w:val="left"/>
              <w:rPr/>
            </w:pPr>
            <w:r>
              <w:rPr/>
              <w:t>Item 3.</w:t>
            </w:r>
          </w:p>
        </w:tc>
        <w:tc>
          <w:tcPr>
            <w:tcW w:w="8572" w:type="dxa"/>
            <w:tcBorders/>
            <w:shd w:fill="CCEEFF" w:val="clear"/>
            <w:vAlign w:val="center"/>
          </w:tcPr>
          <w:p>
            <w:pPr>
              <w:pStyle w:val="TableContents"/>
              <w:bidi w:val="0"/>
              <w:spacing w:before="0" w:after="283"/>
              <w:jc w:val="left"/>
              <w:rPr/>
            </w:pPr>
            <w:r>
              <w:rPr/>
              <w:t>Quantitative and Qualitative Disclosures About Market Risk</w:t>
            </w:r>
          </w:p>
        </w:tc>
        <w:tc>
          <w:tcPr>
            <w:tcW w:w="666" w:type="dxa"/>
            <w:tcBorders/>
            <w:shd w:fill="CCEEFF" w:val="clear"/>
            <w:vAlign w:val="center"/>
          </w:tcPr>
          <w:p>
            <w:pPr>
              <w:pStyle w:val="TableContents"/>
              <w:bidi w:val="0"/>
              <w:spacing w:before="0" w:after="283"/>
              <w:jc w:val="left"/>
              <w:rPr/>
            </w:pPr>
            <w:r>
              <w:rPr/>
              <w:t>27</w:t>
            </w:r>
          </w:p>
        </w:tc>
      </w:tr>
      <w:tr>
        <w:trPr/>
        <w:tc>
          <w:tcPr>
            <w:tcW w:w="967" w:type="dxa"/>
            <w:tcBorders/>
            <w:shd w:fill="FFFFFF" w:val="clear"/>
            <w:vAlign w:val="center"/>
          </w:tcPr>
          <w:p>
            <w:pPr>
              <w:pStyle w:val="TableContents"/>
              <w:bidi w:val="0"/>
              <w:spacing w:before="0" w:after="283"/>
              <w:jc w:val="left"/>
              <w:rPr/>
            </w:pPr>
            <w:r>
              <w:rPr/>
              <w:t> </w:t>
            </w:r>
          </w:p>
        </w:tc>
        <w:tc>
          <w:tcPr>
            <w:tcW w:w="857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967" w:type="dxa"/>
            <w:tcBorders/>
            <w:shd w:fill="CCEEFF" w:val="clear"/>
            <w:vAlign w:val="center"/>
          </w:tcPr>
          <w:p>
            <w:pPr>
              <w:pStyle w:val="TableContents"/>
              <w:bidi w:val="0"/>
              <w:spacing w:before="0" w:after="283"/>
              <w:jc w:val="left"/>
              <w:rPr/>
            </w:pPr>
            <w:r>
              <w:rPr/>
              <w:t>Item 4.</w:t>
            </w:r>
          </w:p>
        </w:tc>
        <w:tc>
          <w:tcPr>
            <w:tcW w:w="8572" w:type="dxa"/>
            <w:tcBorders/>
            <w:shd w:fill="CCEEFF" w:val="clear"/>
            <w:vAlign w:val="center"/>
          </w:tcPr>
          <w:p>
            <w:pPr>
              <w:pStyle w:val="TableContents"/>
              <w:bidi w:val="0"/>
              <w:spacing w:before="0" w:after="283"/>
              <w:jc w:val="left"/>
              <w:rPr/>
            </w:pPr>
            <w:r>
              <w:rPr/>
              <w:t>Controls and Procedures</w:t>
            </w:r>
          </w:p>
        </w:tc>
        <w:tc>
          <w:tcPr>
            <w:tcW w:w="666" w:type="dxa"/>
            <w:tcBorders/>
            <w:shd w:fill="CCEEFF" w:val="clear"/>
            <w:vAlign w:val="center"/>
          </w:tcPr>
          <w:p>
            <w:pPr>
              <w:pStyle w:val="TableContents"/>
              <w:bidi w:val="0"/>
              <w:spacing w:before="0" w:after="283"/>
              <w:jc w:val="left"/>
              <w:rPr/>
            </w:pPr>
            <w:r>
              <w:rPr/>
              <w:t>27</w:t>
            </w:r>
          </w:p>
        </w:tc>
      </w:tr>
      <w:tr>
        <w:trPr/>
        <w:tc>
          <w:tcPr>
            <w:tcW w:w="9539" w:type="dxa"/>
            <w:gridSpan w:val="2"/>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9539" w:type="dxa"/>
            <w:gridSpan w:val="2"/>
            <w:tcBorders/>
            <w:shd w:fill="CCEEFF" w:val="clear"/>
            <w:vAlign w:val="center"/>
          </w:tcPr>
          <w:p>
            <w:pPr>
              <w:pStyle w:val="TableContents"/>
              <w:bidi w:val="0"/>
              <w:spacing w:before="0" w:after="283"/>
              <w:jc w:val="left"/>
              <w:rPr/>
            </w:pPr>
            <w:r>
              <w:rPr/>
              <w:t>Part II.         Other Information</w:t>
            </w:r>
          </w:p>
        </w:tc>
        <w:tc>
          <w:tcPr>
            <w:tcW w:w="666" w:type="dxa"/>
            <w:tcBorders/>
            <w:shd w:fill="CCEEFF" w:val="clear"/>
            <w:vAlign w:val="center"/>
          </w:tcPr>
          <w:p>
            <w:pPr>
              <w:pStyle w:val="TableContents"/>
              <w:bidi w:val="0"/>
              <w:spacing w:before="0" w:after="283"/>
              <w:jc w:val="left"/>
              <w:rPr/>
            </w:pPr>
            <w:r>
              <w:rPr/>
              <w:t> </w:t>
            </w:r>
          </w:p>
        </w:tc>
      </w:tr>
      <w:tr>
        <w:trPr/>
        <w:tc>
          <w:tcPr>
            <w:tcW w:w="9539" w:type="dxa"/>
            <w:gridSpan w:val="2"/>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967" w:type="dxa"/>
            <w:tcBorders/>
            <w:shd w:fill="CCEEFF" w:val="clear"/>
            <w:vAlign w:val="center"/>
          </w:tcPr>
          <w:p>
            <w:pPr>
              <w:pStyle w:val="TableContents"/>
              <w:bidi w:val="0"/>
              <w:spacing w:before="0" w:after="283"/>
              <w:jc w:val="left"/>
              <w:rPr/>
            </w:pPr>
            <w:r>
              <w:rPr/>
              <w:t>Item 1.</w:t>
            </w:r>
          </w:p>
        </w:tc>
        <w:tc>
          <w:tcPr>
            <w:tcW w:w="8572" w:type="dxa"/>
            <w:tcBorders/>
            <w:shd w:fill="CCEEFF" w:val="clear"/>
            <w:vAlign w:val="center"/>
          </w:tcPr>
          <w:p>
            <w:pPr>
              <w:pStyle w:val="TableContents"/>
              <w:bidi w:val="0"/>
              <w:spacing w:before="0" w:after="283"/>
              <w:jc w:val="left"/>
              <w:rPr/>
            </w:pPr>
            <w:r>
              <w:rPr/>
              <w:t>Legal Proceedings</w:t>
            </w:r>
          </w:p>
        </w:tc>
        <w:tc>
          <w:tcPr>
            <w:tcW w:w="666" w:type="dxa"/>
            <w:tcBorders/>
            <w:shd w:fill="CCEEFF" w:val="clear"/>
            <w:vAlign w:val="center"/>
          </w:tcPr>
          <w:p>
            <w:pPr>
              <w:pStyle w:val="TableContents"/>
              <w:bidi w:val="0"/>
              <w:spacing w:before="0" w:after="283"/>
              <w:jc w:val="left"/>
              <w:rPr/>
            </w:pPr>
            <w:r>
              <w:rPr/>
              <w:t>28</w:t>
            </w:r>
          </w:p>
        </w:tc>
      </w:tr>
      <w:tr>
        <w:trPr/>
        <w:tc>
          <w:tcPr>
            <w:tcW w:w="967" w:type="dxa"/>
            <w:tcBorders/>
            <w:shd w:fill="FFFFFF" w:val="clear"/>
            <w:vAlign w:val="center"/>
          </w:tcPr>
          <w:p>
            <w:pPr>
              <w:pStyle w:val="TableContents"/>
              <w:bidi w:val="0"/>
              <w:spacing w:before="0" w:after="283"/>
              <w:jc w:val="left"/>
              <w:rPr/>
            </w:pPr>
            <w:r>
              <w:rPr/>
              <w:t> </w:t>
            </w:r>
          </w:p>
        </w:tc>
        <w:tc>
          <w:tcPr>
            <w:tcW w:w="857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967" w:type="dxa"/>
            <w:tcBorders/>
            <w:shd w:fill="CCEEFF" w:val="clear"/>
            <w:vAlign w:val="center"/>
          </w:tcPr>
          <w:p>
            <w:pPr>
              <w:pStyle w:val="TableContents"/>
              <w:bidi w:val="0"/>
              <w:spacing w:before="0" w:after="283"/>
              <w:jc w:val="left"/>
              <w:rPr/>
            </w:pPr>
            <w:r>
              <w:rPr/>
              <w:t>Item 1A.</w:t>
            </w:r>
          </w:p>
        </w:tc>
        <w:tc>
          <w:tcPr>
            <w:tcW w:w="8572" w:type="dxa"/>
            <w:tcBorders/>
            <w:shd w:fill="CCEEFF" w:val="clear"/>
            <w:vAlign w:val="center"/>
          </w:tcPr>
          <w:p>
            <w:pPr>
              <w:pStyle w:val="TableContents"/>
              <w:bidi w:val="0"/>
              <w:spacing w:before="0" w:after="283"/>
              <w:jc w:val="left"/>
              <w:rPr/>
            </w:pPr>
            <w:r>
              <w:rPr/>
              <w:t>Risk Factors</w:t>
            </w:r>
          </w:p>
        </w:tc>
        <w:tc>
          <w:tcPr>
            <w:tcW w:w="666" w:type="dxa"/>
            <w:tcBorders/>
            <w:shd w:fill="CCEEFF" w:val="clear"/>
            <w:vAlign w:val="center"/>
          </w:tcPr>
          <w:p>
            <w:pPr>
              <w:pStyle w:val="TableContents"/>
              <w:bidi w:val="0"/>
              <w:spacing w:before="0" w:after="283"/>
              <w:jc w:val="left"/>
              <w:rPr/>
            </w:pPr>
            <w:r>
              <w:rPr/>
              <w:t>28</w:t>
            </w:r>
          </w:p>
        </w:tc>
      </w:tr>
      <w:tr>
        <w:trPr/>
        <w:tc>
          <w:tcPr>
            <w:tcW w:w="967" w:type="dxa"/>
            <w:tcBorders/>
            <w:shd w:fill="FFFFFF" w:val="clear"/>
            <w:vAlign w:val="center"/>
          </w:tcPr>
          <w:p>
            <w:pPr>
              <w:pStyle w:val="TableContents"/>
              <w:bidi w:val="0"/>
              <w:spacing w:before="0" w:after="283"/>
              <w:jc w:val="left"/>
              <w:rPr/>
            </w:pPr>
            <w:r>
              <w:rPr/>
              <w:t> </w:t>
            </w:r>
          </w:p>
        </w:tc>
        <w:tc>
          <w:tcPr>
            <w:tcW w:w="857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967" w:type="dxa"/>
            <w:tcBorders/>
            <w:shd w:fill="CCEEFF" w:val="clear"/>
            <w:vAlign w:val="center"/>
          </w:tcPr>
          <w:p>
            <w:pPr>
              <w:pStyle w:val="TableContents"/>
              <w:bidi w:val="0"/>
              <w:spacing w:before="0" w:after="283"/>
              <w:jc w:val="left"/>
              <w:rPr/>
            </w:pPr>
            <w:r>
              <w:rPr/>
              <w:t>Item 2.</w:t>
            </w:r>
          </w:p>
        </w:tc>
        <w:tc>
          <w:tcPr>
            <w:tcW w:w="8572" w:type="dxa"/>
            <w:tcBorders/>
            <w:shd w:fill="CCEEFF" w:val="clear"/>
            <w:vAlign w:val="center"/>
          </w:tcPr>
          <w:p>
            <w:pPr>
              <w:pStyle w:val="TableContents"/>
              <w:bidi w:val="0"/>
              <w:spacing w:before="0" w:after="283"/>
              <w:jc w:val="left"/>
              <w:rPr/>
            </w:pPr>
            <w:r>
              <w:rPr/>
              <w:t>Unregistered Sales of Equity Securities and Use of Proceeds</w:t>
            </w:r>
          </w:p>
        </w:tc>
        <w:tc>
          <w:tcPr>
            <w:tcW w:w="666" w:type="dxa"/>
            <w:tcBorders/>
            <w:shd w:fill="CCEEFF" w:val="clear"/>
            <w:vAlign w:val="center"/>
          </w:tcPr>
          <w:p>
            <w:pPr>
              <w:pStyle w:val="TableContents"/>
              <w:bidi w:val="0"/>
              <w:spacing w:before="0" w:after="283"/>
              <w:jc w:val="left"/>
              <w:rPr/>
            </w:pPr>
            <w:r>
              <w:rPr/>
              <w:t>28</w:t>
            </w:r>
          </w:p>
        </w:tc>
      </w:tr>
      <w:tr>
        <w:trPr/>
        <w:tc>
          <w:tcPr>
            <w:tcW w:w="967" w:type="dxa"/>
            <w:tcBorders/>
            <w:shd w:fill="FFFFFF" w:val="clear"/>
            <w:vAlign w:val="center"/>
          </w:tcPr>
          <w:p>
            <w:pPr>
              <w:pStyle w:val="TableContents"/>
              <w:bidi w:val="0"/>
              <w:spacing w:before="0" w:after="283"/>
              <w:jc w:val="left"/>
              <w:rPr/>
            </w:pPr>
            <w:r>
              <w:rPr/>
              <w:t> </w:t>
            </w:r>
          </w:p>
        </w:tc>
        <w:tc>
          <w:tcPr>
            <w:tcW w:w="857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967" w:type="dxa"/>
            <w:tcBorders/>
            <w:shd w:fill="CCEEFF" w:val="clear"/>
            <w:vAlign w:val="center"/>
          </w:tcPr>
          <w:p>
            <w:pPr>
              <w:pStyle w:val="TableContents"/>
              <w:bidi w:val="0"/>
              <w:spacing w:before="0" w:after="283"/>
              <w:jc w:val="left"/>
              <w:rPr/>
            </w:pPr>
            <w:r>
              <w:rPr/>
              <w:t>Item 5.</w:t>
            </w:r>
          </w:p>
        </w:tc>
        <w:tc>
          <w:tcPr>
            <w:tcW w:w="8572" w:type="dxa"/>
            <w:tcBorders/>
            <w:shd w:fill="CCEEFF" w:val="clear"/>
            <w:vAlign w:val="center"/>
          </w:tcPr>
          <w:p>
            <w:pPr>
              <w:pStyle w:val="TableContents"/>
              <w:bidi w:val="0"/>
              <w:spacing w:before="0" w:after="283"/>
              <w:jc w:val="left"/>
              <w:rPr/>
            </w:pPr>
            <w:r>
              <w:rPr/>
              <w:t>Other Information</w:t>
            </w:r>
          </w:p>
        </w:tc>
        <w:tc>
          <w:tcPr>
            <w:tcW w:w="666" w:type="dxa"/>
            <w:tcBorders/>
            <w:shd w:fill="CCEEFF" w:val="clear"/>
            <w:vAlign w:val="center"/>
          </w:tcPr>
          <w:p>
            <w:pPr>
              <w:pStyle w:val="TableContents"/>
              <w:bidi w:val="0"/>
              <w:spacing w:before="0" w:after="283"/>
              <w:jc w:val="left"/>
              <w:rPr/>
            </w:pPr>
            <w:r>
              <w:rPr/>
              <w:t>29</w:t>
            </w:r>
          </w:p>
        </w:tc>
      </w:tr>
      <w:tr>
        <w:trPr/>
        <w:tc>
          <w:tcPr>
            <w:tcW w:w="967" w:type="dxa"/>
            <w:tcBorders/>
            <w:shd w:fill="FFFFFF" w:val="clear"/>
            <w:vAlign w:val="center"/>
          </w:tcPr>
          <w:p>
            <w:pPr>
              <w:pStyle w:val="TableContents"/>
              <w:bidi w:val="0"/>
              <w:spacing w:before="0" w:after="283"/>
              <w:jc w:val="left"/>
              <w:rPr/>
            </w:pPr>
            <w:r>
              <w:rPr/>
              <w:t> </w:t>
            </w:r>
          </w:p>
        </w:tc>
        <w:tc>
          <w:tcPr>
            <w:tcW w:w="857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r>
      <w:tr>
        <w:trPr/>
        <w:tc>
          <w:tcPr>
            <w:tcW w:w="967" w:type="dxa"/>
            <w:tcBorders/>
            <w:shd w:fill="CCEEFF" w:val="clear"/>
            <w:vAlign w:val="center"/>
          </w:tcPr>
          <w:p>
            <w:pPr>
              <w:pStyle w:val="TableContents"/>
              <w:bidi w:val="0"/>
              <w:spacing w:before="0" w:after="283"/>
              <w:jc w:val="left"/>
              <w:rPr/>
            </w:pPr>
            <w:r>
              <w:rPr/>
              <w:t>Item 6.</w:t>
            </w:r>
          </w:p>
        </w:tc>
        <w:tc>
          <w:tcPr>
            <w:tcW w:w="8572" w:type="dxa"/>
            <w:tcBorders/>
            <w:shd w:fill="CCEEFF" w:val="clear"/>
            <w:vAlign w:val="center"/>
          </w:tcPr>
          <w:p>
            <w:pPr>
              <w:pStyle w:val="TableContents"/>
              <w:bidi w:val="0"/>
              <w:spacing w:before="0" w:after="283"/>
              <w:jc w:val="left"/>
              <w:rPr/>
            </w:pPr>
            <w:r>
              <w:rPr/>
              <w:t>Exhibits</w:t>
            </w:r>
          </w:p>
        </w:tc>
        <w:tc>
          <w:tcPr>
            <w:tcW w:w="666" w:type="dxa"/>
            <w:tcBorders/>
            <w:shd w:fill="CCEEFF" w:val="clear"/>
            <w:vAlign w:val="center"/>
          </w:tcPr>
          <w:p>
            <w:pPr>
              <w:pStyle w:val="TableContents"/>
              <w:bidi w:val="0"/>
              <w:spacing w:before="0" w:after="283"/>
              <w:jc w:val="left"/>
              <w:rPr/>
            </w:pPr>
            <w:r>
              <w:rPr/>
              <w:t>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280" w:type="dxa"/>
        <w:jc w:val="left"/>
        <w:tblInd w:w="0" w:type="dxa"/>
        <w:tblLayout w:type="fixed"/>
        <w:tblCellMar>
          <w:top w:w="0" w:type="dxa"/>
          <w:left w:w="0" w:type="dxa"/>
          <w:bottom w:w="0" w:type="dxa"/>
          <w:right w:w="0" w:type="dxa"/>
        </w:tblCellMar>
      </w:tblPr>
      <w:tblGrid>
        <w:gridCol w:w="710"/>
        <w:gridCol w:w="2570"/>
      </w:tblGrid>
      <w:tr>
        <w:trPr/>
        <w:tc>
          <w:tcPr>
            <w:tcW w:w="7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25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605"/>
        <w:gridCol w:w="294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29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4370" w:type="dxa"/>
        <w:jc w:val="left"/>
        <w:tblInd w:w="0" w:type="dxa"/>
        <w:tblLayout w:type="fixed"/>
        <w:tblCellMar>
          <w:top w:w="0" w:type="dxa"/>
          <w:left w:w="0" w:type="dxa"/>
          <w:bottom w:w="0" w:type="dxa"/>
          <w:right w:w="0" w:type="dxa"/>
        </w:tblCellMar>
      </w:tblPr>
      <w:tblGrid>
        <w:gridCol w:w="4370"/>
      </w:tblGrid>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tc>
      </w:tr>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tc>
      </w:tr>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amounts)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796"/>
        <w:gridCol w:w="60"/>
        <w:gridCol w:w="125"/>
        <w:gridCol w:w="850"/>
        <w:gridCol w:w="80"/>
        <w:gridCol w:w="60"/>
        <w:gridCol w:w="148"/>
        <w:gridCol w:w="1003"/>
        <w:gridCol w:w="83"/>
      </w:tblGrid>
      <w:tr>
        <w:trPr/>
        <w:tc>
          <w:tcPr>
            <w:tcW w:w="7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r>
      <w:tr>
        <w:trPr/>
        <w:tc>
          <w:tcPr>
            <w:tcW w:w="7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83" w:type="dxa"/>
            <w:tcBorders/>
            <w:vAlign w:val="center"/>
          </w:tcPr>
          <w:p>
            <w:pPr>
              <w:pStyle w:val="TableContents"/>
              <w:bidi w:val="0"/>
              <w:spacing w:before="0" w:after="283"/>
              <w:jc w:val="left"/>
              <w:rPr/>
            </w:pPr>
            <w:r>
              <w:rPr/>
              <w:t> </w:t>
            </w:r>
          </w:p>
        </w:tc>
      </w:tr>
      <w:tr>
        <w:trPr/>
        <w:tc>
          <w:tcPr>
            <w:tcW w:w="7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3" w:type="dxa"/>
            <w:tcBorders/>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73,394</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189,233</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173,141</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14,646</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433,762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450,414</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at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122,919</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machinery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487,474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475,194</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317,269</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15,796</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48,589</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28,592</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plant and equipment, at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1,041,323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1,012,043</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620,858</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397,172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391,185</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 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109,695</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72,561</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152,383</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3,793</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523,502</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1,365,101</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finance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89,268</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insurance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16,933</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10,063</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19,063</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23,325</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payable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15,178</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174,073</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finance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140,751</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87,824</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5,038</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authorized 10,000,000 shares; none issued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 par value; authorized, 50,000,000 shares; issued and outstanding 19,453,000 and 19,460,000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136,516</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815,323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835,753</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935,034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956,970</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1,365,101</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240" w:type="dxa"/>
        <w:jc w:val="left"/>
        <w:tblInd w:w="0" w:type="dxa"/>
        <w:tblLayout w:type="fixed"/>
        <w:tblCellMar>
          <w:top w:w="0" w:type="dxa"/>
          <w:left w:w="0" w:type="dxa"/>
          <w:bottom w:w="0" w:type="dxa"/>
          <w:right w:w="0" w:type="dxa"/>
        </w:tblCellMar>
      </w:tblPr>
      <w:tblGrid>
        <w:gridCol w:w="5240"/>
      </w:tblGrid>
      <w:tr>
        <w:trPr/>
        <w:tc>
          <w:tcPr>
            <w:tcW w:w="5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4370" w:type="dxa"/>
        <w:jc w:val="left"/>
        <w:tblInd w:w="0" w:type="dxa"/>
        <w:tblLayout w:type="fixed"/>
        <w:tblCellMar>
          <w:top w:w="0" w:type="dxa"/>
          <w:left w:w="0" w:type="dxa"/>
          <w:bottom w:w="0" w:type="dxa"/>
          <w:right w:w="0" w:type="dxa"/>
        </w:tblCellMar>
      </w:tblPr>
      <w:tblGrid>
        <w:gridCol w:w="4370"/>
      </w:tblGrid>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tc>
      </w:tr>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EARNINGS</w:t>
            </w:r>
          </w:p>
        </w:tc>
      </w:tr>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r>
      <w:tr>
        <w:trPr/>
        <w:tc>
          <w:tcPr>
            <w:tcW w:w="43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tc>
      </w:tr>
    </w:tbl>
    <w:p>
      <w:pPr>
        <w:pStyle w:val="TextBody"/>
        <w:bidi w:val="0"/>
        <w:spacing w:before="0" w:after="0"/>
        <w:ind w:left="0" w:right="0" w:hanging="0"/>
        <w:jc w:val="left"/>
        <w:rPr/>
      </w:pPr>
      <w:r>
        <w:rPr/>
        <w:t> </w:t>
      </w:r>
    </w:p>
    <w:tbl>
      <w:tblPr>
        <w:tblW w:w="7646" w:type="dxa"/>
        <w:jc w:val="left"/>
        <w:tblInd w:w="0" w:type="dxa"/>
        <w:tblLayout w:type="fixed"/>
        <w:tblCellMar>
          <w:top w:w="0" w:type="dxa"/>
          <w:left w:w="0" w:type="dxa"/>
          <w:bottom w:w="0" w:type="dxa"/>
          <w:right w:w="0" w:type="dxa"/>
        </w:tblCellMar>
      </w:tblPr>
      <w:tblGrid>
        <w:gridCol w:w="3530"/>
        <w:gridCol w:w="60"/>
        <w:gridCol w:w="135"/>
        <w:gridCol w:w="754"/>
        <w:gridCol w:w="80"/>
        <w:gridCol w:w="60"/>
        <w:gridCol w:w="135"/>
        <w:gridCol w:w="754"/>
        <w:gridCol w:w="80"/>
        <w:gridCol w:w="60"/>
        <w:gridCol w:w="135"/>
        <w:gridCol w:w="754"/>
        <w:gridCol w:w="80"/>
        <w:gridCol w:w="60"/>
        <w:gridCol w:w="135"/>
        <w:gridCol w:w="754"/>
        <w:gridCol w:w="80"/>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718,697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708,042</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260,396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251,491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529,093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505,214</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202,828</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55,122</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84,552</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36,720</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expense</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175,241</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27,587</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28,080</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7,469</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20,611</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diluted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diluted shares</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19,411</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basic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basic shares</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240" w:type="dxa"/>
        <w:jc w:val="left"/>
        <w:tblInd w:w="0" w:type="dxa"/>
        <w:tblLayout w:type="fixed"/>
        <w:tblCellMar>
          <w:top w:w="0" w:type="dxa"/>
          <w:left w:w="0" w:type="dxa"/>
          <w:bottom w:w="0" w:type="dxa"/>
          <w:right w:w="0" w:type="dxa"/>
        </w:tblCellMar>
      </w:tblPr>
      <w:tblGrid>
        <w:gridCol w:w="5240"/>
      </w:tblGrid>
      <w:tr>
        <w:trPr/>
        <w:tc>
          <w:tcPr>
            <w:tcW w:w="5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J&amp;J SNACK FOODS CORP. AND SUBSIDIARIES</w:t>
            </w:r>
            <w:r>
              <w:rPr>
                <w:rFonts w:ascii="Times New Roman" w:hAnsi="Times New Roman"/>
                <w:caps w:val="false"/>
                <w:smallCaps w:val="false"/>
                <w:sz w:val="20"/>
              </w:rPr>
              <w:t> </w:t>
            </w:r>
          </w:p>
        </w:tc>
      </w:tr>
      <w:tr>
        <w:trPr/>
        <w:tc>
          <w:tcPr>
            <w:tcW w:w="5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INCOME</w:t>
            </w:r>
          </w:p>
        </w:tc>
      </w:tr>
      <w:tr>
        <w:trPr/>
        <w:tc>
          <w:tcPr>
            <w:tcW w:w="5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r>
      <w:tr>
        <w:trPr/>
        <w:tc>
          <w:tcPr>
            <w:tcW w:w="5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r>
    </w:tbl>
    <w:p>
      <w:pPr>
        <w:pStyle w:val="TextBody"/>
        <w:bidi w:val="0"/>
        <w:spacing w:before="0" w:after="0"/>
        <w:ind w:left="0" w:right="0" w:hanging="0"/>
        <w:jc w:val="left"/>
        <w:rPr/>
      </w:pPr>
      <w:r>
        <w:rPr/>
        <w:t> </w:t>
      </w:r>
    </w:p>
    <w:tbl>
      <w:tblPr>
        <w:tblW w:w="7773" w:type="dxa"/>
        <w:jc w:val="left"/>
        <w:tblInd w:w="0" w:type="dxa"/>
        <w:tblLayout w:type="fixed"/>
        <w:tblCellMar>
          <w:top w:w="0" w:type="dxa"/>
          <w:left w:w="0" w:type="dxa"/>
          <w:bottom w:w="0" w:type="dxa"/>
          <w:right w:w="0" w:type="dxa"/>
        </w:tblCellMar>
      </w:tblPr>
      <w:tblGrid>
        <w:gridCol w:w="3695"/>
        <w:gridCol w:w="60"/>
        <w:gridCol w:w="181"/>
        <w:gridCol w:w="708"/>
        <w:gridCol w:w="71"/>
        <w:gridCol w:w="71"/>
        <w:gridCol w:w="155"/>
        <w:gridCol w:w="734"/>
        <w:gridCol w:w="60"/>
        <w:gridCol w:w="60"/>
        <w:gridCol w:w="166"/>
        <w:gridCol w:w="723"/>
        <w:gridCol w:w="80"/>
        <w:gridCol w:w="60"/>
        <w:gridCol w:w="155"/>
        <w:gridCol w:w="734"/>
        <w:gridCol w:w="60"/>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20,611</w:t>
            </w:r>
          </w:p>
        </w:tc>
        <w:tc>
          <w:tcPr>
            <w:tcW w:w="6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2,283</w:t>
            </w:r>
          </w:p>
        </w:tc>
        <w:tc>
          <w:tcPr>
            <w:tcW w:w="6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comprehensive income, net of tax</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2,283</w:t>
            </w:r>
          </w:p>
        </w:tc>
        <w:tc>
          <w:tcPr>
            <w:tcW w:w="6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5,256</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22,894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240" w:type="dxa"/>
        <w:jc w:val="left"/>
        <w:tblInd w:w="0" w:type="dxa"/>
        <w:tblLayout w:type="fixed"/>
        <w:tblCellMar>
          <w:top w:w="0" w:type="dxa"/>
          <w:left w:w="0" w:type="dxa"/>
          <w:bottom w:w="0" w:type="dxa"/>
          <w:right w:w="0" w:type="dxa"/>
        </w:tblCellMar>
      </w:tblPr>
      <w:tblGrid>
        <w:gridCol w:w="5240"/>
      </w:tblGrid>
      <w:tr>
        <w:trPr/>
        <w:tc>
          <w:tcPr>
            <w:tcW w:w="5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7055" w:type="dxa"/>
        <w:jc w:val="left"/>
        <w:tblInd w:w="0" w:type="dxa"/>
        <w:tblLayout w:type="fixed"/>
        <w:tblCellMar>
          <w:top w:w="0" w:type="dxa"/>
          <w:left w:w="0" w:type="dxa"/>
          <w:bottom w:w="0" w:type="dxa"/>
          <w:right w:w="0" w:type="dxa"/>
        </w:tblCellMar>
      </w:tblPr>
      <w:tblGrid>
        <w:gridCol w:w="7055"/>
      </w:tblGrid>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tc>
      </w:tr>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CHANGES IN STOCKHOLDERS' EQUITY</w:t>
            </w:r>
          </w:p>
        </w:tc>
      </w:tr>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(in thousands)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100"/>
        <w:gridCol w:w="60"/>
        <w:gridCol w:w="60"/>
        <w:gridCol w:w="590"/>
        <w:gridCol w:w="80"/>
        <w:gridCol w:w="60"/>
        <w:gridCol w:w="125"/>
        <w:gridCol w:w="695"/>
        <w:gridCol w:w="80"/>
        <w:gridCol w:w="60"/>
        <w:gridCol w:w="208"/>
        <w:gridCol w:w="1087"/>
        <w:gridCol w:w="80"/>
        <w:gridCol w:w="60"/>
        <w:gridCol w:w="125"/>
        <w:gridCol w:w="695"/>
        <w:gridCol w:w="80"/>
        <w:gridCol w:w="60"/>
        <w:gridCol w:w="125"/>
        <w:gridCol w:w="695"/>
        <w:gridCol w:w="80"/>
      </w:tblGrid>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28,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956,970</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vesting of service share units,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($0.78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28,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825,703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946,840</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for employee stock purchase plan,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($0.78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4,824</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29,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815,323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935,034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140"/>
        <w:gridCol w:w="60"/>
        <w:gridCol w:w="60"/>
        <w:gridCol w:w="590"/>
        <w:gridCol w:w="60"/>
        <w:gridCol w:w="60"/>
        <w:gridCol w:w="125"/>
        <w:gridCol w:w="695"/>
        <w:gridCol w:w="60"/>
        <w:gridCol w:w="60"/>
        <w:gridCol w:w="208"/>
        <w:gridCol w:w="1087"/>
        <w:gridCol w:w="80"/>
        <w:gridCol w:w="60"/>
        <w:gridCol w:w="125"/>
        <w:gridCol w:w="695"/>
        <w:gridCol w:w="80"/>
        <w:gridCol w:w="60"/>
        <w:gridCol w:w="125"/>
        <w:gridCol w:w="695"/>
        <w:gridCol w:w="80"/>
      </w:tblGrid>
      <w:tr>
        <w:trPr/>
        <w:tc>
          <w:tcPr>
            <w:tcW w:w="5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911,518</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4,481</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vesting of service share units,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($0.74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7,282</w:t>
            </w:r>
          </w:p>
        </w:tc>
        <w:tc>
          <w:tcPr>
            <w:tcW w:w="80" w:type="dxa"/>
            <w:tcBorders/>
            <w:shd w:fill="FFFFFF" w:val="clear"/>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912,461</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for employee stock purchase plan,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80" w:type="dxa"/>
            <w:tcBorders/>
            <w:shd w:fill="FFFFFF" w:val="clear"/>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($0.74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w:t>
            </w:r>
          </w:p>
        </w:tc>
        <w:tc>
          <w:tcPr>
            <w:tcW w:w="80" w:type="dxa"/>
            <w:tcBorders/>
            <w:shd w:fill="CCEEFF" w:val="clear"/>
            <w:vAlign w:val="center"/>
          </w:tcPr>
          <w:p>
            <w:pPr>
              <w:pStyle w:val="TableContents"/>
              <w:bidi w:val="0"/>
              <w:spacing w:before="0" w:after="283"/>
              <w:jc w:val="left"/>
              <w:rPr/>
            </w:pPr>
            <w:r>
              <w:rPr/>
              <w:t> </w:t>
            </w:r>
          </w:p>
        </w:tc>
      </w:tr>
      <w:tr>
        <w:trPr/>
        <w:tc>
          <w:tcPr>
            <w:tcW w:w="51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13,329</w:t>
            </w:r>
          </w:p>
        </w:tc>
        <w:tc>
          <w:tcPr>
            <w:tcW w:w="80" w:type="dxa"/>
            <w:tcBorders/>
            <w:shd w:fill="FFFFFF" w:val="clear"/>
            <w:vAlign w:val="center"/>
          </w:tcPr>
          <w:p>
            <w:pPr>
              <w:pStyle w:val="TableContents"/>
              <w:bidi w:val="0"/>
              <w:spacing w:before="0" w:after="283"/>
              <w:jc w:val="left"/>
              <w:rPr/>
            </w:pPr>
            <w:r>
              <w:rPr/>
              <w:t> </w:t>
            </w:r>
          </w:p>
        </w:tc>
      </w:tr>
      <w:tr>
        <w:trPr/>
        <w:tc>
          <w:tcPr>
            <w:tcW w:w="5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799,255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915,652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240" w:type="dxa"/>
        <w:jc w:val="left"/>
        <w:tblInd w:w="0" w:type="dxa"/>
        <w:tblLayout w:type="fixed"/>
        <w:tblCellMar>
          <w:top w:w="0" w:type="dxa"/>
          <w:left w:w="0" w:type="dxa"/>
          <w:bottom w:w="0" w:type="dxa"/>
          <w:right w:w="0" w:type="dxa"/>
        </w:tblCellMar>
      </w:tblPr>
      <w:tblGrid>
        <w:gridCol w:w="5240"/>
      </w:tblGrid>
      <w:tr>
        <w:trPr/>
        <w:tc>
          <w:tcPr>
            <w:tcW w:w="5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4595" w:type="dxa"/>
        <w:jc w:val="left"/>
        <w:tblInd w:w="0" w:type="dxa"/>
        <w:tblLayout w:type="fixed"/>
        <w:tblCellMar>
          <w:top w:w="0" w:type="dxa"/>
          <w:left w:w="0" w:type="dxa"/>
          <w:bottom w:w="0" w:type="dxa"/>
          <w:right w:w="0" w:type="dxa"/>
        </w:tblCellMar>
      </w:tblPr>
      <w:tblGrid>
        <w:gridCol w:w="4595"/>
      </w:tblGrid>
      <w:tr>
        <w:trPr/>
        <w:tc>
          <w:tcPr>
            <w:tcW w:w="4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tc>
      </w:tr>
      <w:tr>
        <w:trPr/>
        <w:tc>
          <w:tcPr>
            <w:tcW w:w="4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tc>
      </w:tr>
      <w:tr>
        <w:trPr/>
        <w:tc>
          <w:tcPr>
            <w:tcW w:w="4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(in thousands)</w:t>
            </w:r>
          </w:p>
        </w:tc>
      </w:tr>
    </w:tbl>
    <w:p>
      <w:pPr>
        <w:pStyle w:val="TextBody"/>
        <w:bidi w:val="0"/>
        <w:spacing w:before="0" w:after="0"/>
        <w:ind w:left="0" w:right="0" w:hanging="0"/>
        <w:jc w:val="left"/>
        <w:rPr/>
      </w:pPr>
      <w:r>
        <w:rPr/>
        <w:t> </w:t>
      </w:r>
    </w:p>
    <w:tbl>
      <w:tblPr>
        <w:tblW w:w="8708" w:type="dxa"/>
        <w:jc w:val="left"/>
        <w:tblInd w:w="0" w:type="dxa"/>
        <w:tblLayout w:type="fixed"/>
        <w:tblCellMar>
          <w:top w:w="0" w:type="dxa"/>
          <w:left w:w="0" w:type="dxa"/>
          <w:bottom w:w="0" w:type="dxa"/>
          <w:right w:w="0" w:type="dxa"/>
        </w:tblCellMar>
      </w:tblPr>
      <w:tblGrid>
        <w:gridCol w:w="6650"/>
        <w:gridCol w:w="60"/>
        <w:gridCol w:w="143"/>
        <w:gridCol w:w="746"/>
        <w:gridCol w:w="80"/>
        <w:gridCol w:w="60"/>
        <w:gridCol w:w="143"/>
        <w:gridCol w:w="746"/>
        <w:gridCol w:w="80"/>
      </w:tblGrid>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20,611</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earnings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fixed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30,960</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 and deferred costs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3,232</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disposals of property &amp; equipment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3,208</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net of effects from purchase of companies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 accounts receivable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20,110</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inventories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changes in other operating assets and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61,698</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to repurchase common stock</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stock</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6,516</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credit facility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borrowings under credit facility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finance lease obligations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cash dividend</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49,581</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240" w:type="dxa"/>
        <w:jc w:val="left"/>
        <w:tblInd w:w="0" w:type="dxa"/>
        <w:tblLayout w:type="fixed"/>
        <w:tblCellMar>
          <w:top w:w="0" w:type="dxa"/>
          <w:left w:w="0" w:type="dxa"/>
          <w:bottom w:w="0" w:type="dxa"/>
          <w:right w:w="0" w:type="dxa"/>
        </w:tblCellMar>
      </w:tblPr>
      <w:tblGrid>
        <w:gridCol w:w="5240"/>
      </w:tblGrid>
      <w:tr>
        <w:trPr/>
        <w:tc>
          <w:tcPr>
            <w:tcW w:w="5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1</w:t>
      </w:r>
      <w:r>
        <w:rPr>
          <w:rFonts w:ascii="Times New Roman" w:hAnsi="Times New Roman"/>
          <w:caps w:val="false"/>
          <w:smallCaps w:val="false"/>
          <w:sz w:val="20"/>
        </w:rPr>
        <w:t xml:space="preserve">            </w:t>
      </w: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unaudited Consolidated Financial Statements have been prepared in accordance with accounting principles generally accepted in the United States for interim financial information and with the instructions to Form 10-Q and Rule 10-01 of Regulation S-X. They do not include all information and notes required by generally accepted accounting principles for complete financial statements. However, except as disclosed herein, there has been no material change in the information disclosed in the Notes to Consolidated Financial Statements included in the Company’s Annual Report on Form 10-K for the year ended September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the opinion of management, the accompanying unaudited consolidated financial statements contain all adjustments (consisting of only normal recurring adjustments) necessary to present fairly the Company’s financial position and the results of operations and cash flows.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results of operations for the three and six months ended March 29, 2025 and March 30, 2024 are not necessarily indicative of results for the full year. Sales of our frozen beverages and frozen novelties are generally higher in the fiscal third and fourth quarters due to warmer weather.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While we believe that the disclosures presented are adequate to make the information not misleading, it is suggested that these consolidated financial statements be read in conjunction with the audited consolidated financial statements and the notes included in the Company’s Annual Report on Form 10-K for the fiscal year ended September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2</w:t>
      </w:r>
      <w:r>
        <w:rPr>
          <w:rFonts w:ascii="Times New Roman" w:hAnsi="Times New Roman"/>
          <w:caps w:val="false"/>
          <w:smallCaps w:val="false"/>
          <w:sz w:val="20"/>
        </w:rPr>
        <w:t xml:space="preserve">            </w:t>
      </w:r>
      <w:r>
        <w:rPr>
          <w:rFonts w:ascii="Times New Roman" w:hAnsi="Times New Roman"/>
          <w:b/>
          <w:caps w:val="false"/>
          <w:smallCaps w:val="false"/>
          <w:sz w:val="20"/>
        </w:rPr>
        <w:t>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April 8, 2024, J &amp; J Snack Foods Corp. completed the acquisition of the Thinsters cookie business from Hain Celestial Group as part of our growth strategy to increase our product portfolio. The purchase price was approximately $7.0 million, consisting entirely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allocation of the purchase price to major classes of assets and liabilities was completed as of September 28, 2024. The purchase price allocation includes $1.1 million of Inventory acquired and $5.9 million of Intangible assets. Intangible assets include an indefinite lived Trade name with a fair value of $5.3 million, and an amortizing Customer relationship intangible asset with a fair value of $0.7 million. The Customer relationship intangible asset will amortize over a useful life of 10 years. The acquisition of Thinsters was accounted for using the acquisition method of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financial results of Thinsters have been included in our consolidated financial statements since the date of the acquisition and are reported as part of our Food Service segment. Sales and net earnings of Thinsters were not deemed to be material for the three months and six months ended 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3</w:t>
      </w:r>
      <w:r>
        <w:rPr>
          <w:rFonts w:ascii="Times New Roman" w:hAnsi="Times New Roman"/>
          <w:caps w:val="false"/>
          <w:smallCaps w:val="false"/>
          <w:sz w:val="20"/>
        </w:rPr>
        <w:t xml:space="preserve">            </w:t>
      </w:r>
      <w:r>
        <w:rPr>
          <w:rFonts w:ascii="Times New Roman" w:hAnsi="Times New Roman"/>
          <w:b/>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recognize revenue in accordance with ASC 606, “Revenue from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When Performance Obligations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contracts for product and machine sales is determined by each individual purchase order and the respective products ordered, with revenue being recognized at a point-in-time when the obligation under the terms of the agreement is satisfied and product control is transferred to our customer. Specifically, control transfers to our customers when the product is delivered to, installed or picked up by our customers based upon applicable shipping terms, as our customers can direct the use and obtain substantially all of the remaining benefits from the product at this point in time. The performance obligations in our customer contracts for product are generally satisfied within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contracts for time and material repair and maintenance equipment service is the performance of the repair and maintenance with revenue being recognized at a point-in-time when the repair and maintenance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repair and maintenance equipment service contracts is the performance of the repair and maintenance with revenue being recognized over the time the service is expected to be performed. Our customers are billed for service contracts in advance of performance and therefore we have contract liability on our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Significant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general, within our customer contracts, the purchase order identifies the product, quantity, price, pick-up allowances, payment terms and final delivery terms. Although some payment terms may be more extended, presently the majority of our payment terms are 30 days. As a result, we have used the available practical expedient and, consequently, do not adjust our revenues for the effects of a significant financing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Shipping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All amounts billed to customers related to shipping and handling are classified as revenues; therefore, we recognize revenue for shipping and handling fees at the time the products are shipped or when services are performed. The cost of shipping products to the customer is recognized at the time the products are shipped to the customer and our policy is to classify them as Distribution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Variable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addition to fixed contract consideration, our contracts include some form of variable consideration, including sales discounts, trade promotions and certain other sales and consumer incentives, including rebates and coupon redemptions. In general, variable consideration is treated as a reduction in revenue when the related revenue is recognized. Depending on the specific type of variable consideration, we use the most likely amount method to determine the variable consideration. We believe there will be no significant changes to our estimates of variable consideration when any related uncertainties are resolved with our customers. We review and update our estimates and related accruals of variable consideration each period based on historical experience. Our recorded liability for allowances, end-user pricing adjustments and trade spending was approximately $20.9 million at March 29, 2025 and $21.9 million at September 28, 2024.</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Warranties &amp;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provide all customers with a standard or assurance type warranty. Either stated or implied, we provide assurance the related products will comply with all agreed-upon specifications and other warranties provided under the law. No services beyond an assurance warranty are provided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do not grant a general right of return. However, customers may return defective or non-conforming products. Customer remedies may include either a cash refund or an exchange of the product. We do not estimate a right of return and related refund liability as returns of our products are rare.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customers are billed for service contracts in advance of performance and therefore we have contract liability on our balance sheet as follows:</w:t>
      </w:r>
    </w:p>
    <w:p>
      <w:pPr>
        <w:pStyle w:val="TextBody"/>
        <w:bidi w:val="0"/>
        <w:spacing w:before="0" w:after="0"/>
        <w:ind w:left="0" w:right="0" w:hanging="0"/>
        <w:jc w:val="left"/>
        <w:rPr>
          <w:caps w:val="false"/>
          <w:smallCaps w:val="false"/>
        </w:rPr>
      </w:pPr>
      <w:r>
        <w:rPr>
          <w:caps w:val="false"/>
          <w:smallCaps w:val="false"/>
        </w:rPr>
        <w:t> </w:t>
      </w:r>
    </w:p>
    <w:tbl>
      <w:tblPr>
        <w:tblW w:w="6769" w:type="dxa"/>
        <w:jc w:val="left"/>
        <w:tblInd w:w="0" w:type="dxa"/>
        <w:tblLayout w:type="fixed"/>
        <w:tblCellMar>
          <w:top w:w="0" w:type="dxa"/>
          <w:left w:w="0" w:type="dxa"/>
          <w:bottom w:w="0" w:type="dxa"/>
          <w:right w:w="0" w:type="dxa"/>
        </w:tblCellMar>
      </w:tblPr>
      <w:tblGrid>
        <w:gridCol w:w="2615"/>
        <w:gridCol w:w="60"/>
        <w:gridCol w:w="165"/>
        <w:gridCol w:w="724"/>
        <w:gridCol w:w="93"/>
        <w:gridCol w:w="70"/>
        <w:gridCol w:w="165"/>
        <w:gridCol w:w="724"/>
        <w:gridCol w:w="80"/>
        <w:gridCol w:w="60"/>
        <w:gridCol w:w="165"/>
        <w:gridCol w:w="724"/>
        <w:gridCol w:w="80"/>
        <w:gridCol w:w="60"/>
        <w:gridCol w:w="165"/>
        <w:gridCol w:w="724"/>
        <w:gridCol w:w="95"/>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9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9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41"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9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4,427</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4,926</w:t>
            </w:r>
          </w:p>
        </w:tc>
        <w:tc>
          <w:tcPr>
            <w:tcW w:w="9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contract liability</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2,917</w:t>
            </w:r>
          </w:p>
        </w:tc>
        <w:tc>
          <w:tcPr>
            <w:tcW w:w="9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recognized as revenue</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4,404</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4,829</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See Note 11 for disaggregation of our net sales by class of similar product and type of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Allowance for Estimated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Company continuously monitors collections and payments from its customers and maintains a provision for estimated credit losses. The allowance for estimated credit losses considers a number of factors including the age of receivable balances, the history of losses, expectations of future credit losses, and the customers’ ability to pay off obligations. The allowance for estimated credit losses was $3.3 million and $3.2 million on March 29, 2025 and September 28,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4</w:t>
      </w:r>
      <w:r>
        <w:rPr>
          <w:rFonts w:ascii="Times New Roman" w:hAnsi="Times New Roman"/>
          <w:caps w:val="false"/>
          <w:smallCaps w:val="false"/>
          <w:sz w:val="20"/>
        </w:rPr>
        <w:t xml:space="preserve">            </w:t>
      </w:r>
      <w:r>
        <w:rPr>
          <w:rFonts w:ascii="Times New Roman" w:hAnsi="Times New Roman"/>
          <w:b/>
          <w:caps w:val="false"/>
          <w:smallCaps w:val="false"/>
          <w:sz w:val="20"/>
        </w:rPr>
        <w:t>Depreciation and Amortization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Depreciation of equipment and buildings is provided for by the straight-line method over the assets’ estimated useful lives. Amortization of improvements is provided for by the straight-line method over the term of the lease or the assets’ estimated useful lives, whichever is shorter. Licenses and rights, customer relationships, franchise agreements, technology, and certain trade names arising from acquisitions are amortized by the straight-line method over periods ranging from 2 to 20 years. Depreciation expense was $15.8 million for the three months ended March 29, 2025 and March 30, 2024, respectively and $31.6 million and $31.0 million for the six months ended March 29, 2025 and March 30,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5</w:t>
      </w:r>
      <w:r>
        <w:rPr>
          <w:rFonts w:ascii="Times New Roman" w:hAnsi="Times New Roman"/>
          <w:caps w:val="false"/>
          <w:smallCaps w:val="false"/>
          <w:sz w:val="20"/>
        </w:rPr>
        <w:t xml:space="preserve">            </w:t>
      </w:r>
      <w:r>
        <w:rPr>
          <w:rFonts w:ascii="Times New Roman" w:hAnsi="Times New Roman"/>
          <w:b/>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Basic earnings per common share (“EPS”) excludes dilution and is computed by dividing income available to common shareholders by the weighted average common shares outstanding during the period. Diluted EPS takes into consideration the potential dilution that could occur if securities (stock options, service share units (“RSU”)’s, and performance share units (“PSU”)’s) or other contracts to issue common stock were exercised and converted into common stock. Our calculation of EPS is as follows:</w:t>
      </w:r>
    </w:p>
    <w:p>
      <w:pPr>
        <w:pStyle w:val="TextBody"/>
        <w:bidi w:val="0"/>
        <w:spacing w:before="0" w:after="0"/>
        <w:ind w:left="0" w:right="0" w:hanging="0"/>
        <w:jc w:val="left"/>
        <w:rPr>
          <w:caps w:val="false"/>
          <w:smallCaps w:val="false"/>
        </w:rPr>
      </w:pPr>
      <w:r>
        <w:rPr>
          <w:caps w:val="false"/>
          <w:smallCaps w:val="false"/>
        </w:rPr>
        <w:t> </w:t>
      </w:r>
    </w:p>
    <w:tbl>
      <w:tblPr>
        <w:tblW w:w="9719" w:type="dxa"/>
        <w:jc w:val="left"/>
        <w:tblInd w:w="0" w:type="dxa"/>
        <w:tblLayout w:type="fixed"/>
        <w:tblCellMar>
          <w:top w:w="0" w:type="dxa"/>
          <w:left w:w="0" w:type="dxa"/>
          <w:bottom w:w="0" w:type="dxa"/>
          <w:right w:w="0" w:type="dxa"/>
        </w:tblCellMar>
      </w:tblPr>
      <w:tblGrid>
        <w:gridCol w:w="6020"/>
        <w:gridCol w:w="60"/>
        <w:gridCol w:w="275"/>
        <w:gridCol w:w="809"/>
        <w:gridCol w:w="93"/>
        <w:gridCol w:w="93"/>
        <w:gridCol w:w="116"/>
        <w:gridCol w:w="1148"/>
        <w:gridCol w:w="93"/>
        <w:gridCol w:w="93"/>
        <w:gridCol w:w="212"/>
        <w:gridCol w:w="647"/>
        <w:gridCol w:w="6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7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29, 2025</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79"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6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4,824</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19,488</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RSU's and options</w:t>
            </w:r>
          </w:p>
        </w:tc>
        <w:tc>
          <w:tcPr>
            <w:tcW w:w="60" w:type="dxa"/>
            <w:tcBorders/>
            <w:shd w:fill="CCEEFF" w:val="clear"/>
            <w:vAlign w:val="center"/>
          </w:tcPr>
          <w:p>
            <w:pPr>
              <w:pStyle w:val="TableContents"/>
              <w:bidi w:val="0"/>
              <w:spacing w:before="0" w:after="283"/>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4,824</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19,563</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126,436 anti-dilutive shares have been excluded in the computation of EPS for the three months ended March 29, 2025.</w:t>
      </w:r>
    </w:p>
    <w:p>
      <w:pPr>
        <w:pStyle w:val="TextBody"/>
        <w:bidi w:val="0"/>
        <w:spacing w:before="0" w:after="0"/>
        <w:ind w:left="0" w:right="0" w:hanging="0"/>
        <w:jc w:val="left"/>
        <w:rPr>
          <w:caps w:val="false"/>
          <w:smallCaps w:val="false"/>
        </w:rPr>
      </w:pPr>
      <w:r>
        <w:rPr>
          <w:caps w:val="false"/>
          <w:smallCaps w:val="false"/>
        </w:rPr>
        <w:t> </w:t>
      </w:r>
    </w:p>
    <w:tbl>
      <w:tblPr>
        <w:tblW w:w="9687" w:type="dxa"/>
        <w:jc w:val="left"/>
        <w:tblInd w:w="0" w:type="dxa"/>
        <w:tblLayout w:type="fixed"/>
        <w:tblCellMar>
          <w:top w:w="0" w:type="dxa"/>
          <w:left w:w="0" w:type="dxa"/>
          <w:bottom w:w="0" w:type="dxa"/>
          <w:right w:w="0" w:type="dxa"/>
        </w:tblCellMar>
      </w:tblPr>
      <w:tblGrid>
        <w:gridCol w:w="6020"/>
        <w:gridCol w:w="60"/>
        <w:gridCol w:w="275"/>
        <w:gridCol w:w="809"/>
        <w:gridCol w:w="85"/>
        <w:gridCol w:w="85"/>
        <w:gridCol w:w="116"/>
        <w:gridCol w:w="1148"/>
        <w:gridCol w:w="85"/>
        <w:gridCol w:w="85"/>
        <w:gridCol w:w="212"/>
        <w:gridCol w:w="647"/>
        <w:gridCol w:w="6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4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March 29, 2025</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47"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6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9,967</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19,480</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0.51</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RSU's and options</w:t>
            </w:r>
          </w:p>
        </w:tc>
        <w:tc>
          <w:tcPr>
            <w:tcW w:w="60" w:type="dxa"/>
            <w:tcBorders/>
            <w:shd w:fill="CCEEFF" w:val="clear"/>
            <w:vAlign w:val="center"/>
          </w:tcPr>
          <w:p>
            <w:pPr>
              <w:pStyle w:val="TableContents"/>
              <w:bidi w:val="0"/>
              <w:spacing w:before="0" w:after="283"/>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9,967</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19,568</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108,068 anti-dilutive shares have been excluded in the computation of EPS for the six months ended March 29, 2025.</w:t>
      </w:r>
    </w:p>
    <w:p>
      <w:pPr>
        <w:pStyle w:val="TextBody"/>
        <w:bidi w:val="0"/>
        <w:spacing w:before="0" w:after="0"/>
        <w:ind w:left="0" w:right="0" w:hanging="0"/>
        <w:jc w:val="left"/>
        <w:rPr>
          <w:caps w:val="false"/>
          <w:smallCaps w:val="false"/>
        </w:rPr>
      </w:pPr>
      <w:r>
        <w:rPr>
          <w:caps w:val="false"/>
          <w:smallCaps w:val="false"/>
        </w:rPr>
        <w:t> </w:t>
      </w:r>
    </w:p>
    <w:tbl>
      <w:tblPr>
        <w:tblW w:w="9699" w:type="dxa"/>
        <w:jc w:val="left"/>
        <w:tblInd w:w="0" w:type="dxa"/>
        <w:tblLayout w:type="fixed"/>
        <w:tblCellMar>
          <w:top w:w="0" w:type="dxa"/>
          <w:left w:w="0" w:type="dxa"/>
          <w:bottom w:w="0" w:type="dxa"/>
          <w:right w:w="0" w:type="dxa"/>
        </w:tblCellMar>
      </w:tblPr>
      <w:tblGrid>
        <w:gridCol w:w="6020"/>
        <w:gridCol w:w="60"/>
        <w:gridCol w:w="189"/>
        <w:gridCol w:w="895"/>
        <w:gridCol w:w="88"/>
        <w:gridCol w:w="88"/>
        <w:gridCol w:w="116"/>
        <w:gridCol w:w="1148"/>
        <w:gridCol w:w="88"/>
        <w:gridCol w:w="88"/>
        <w:gridCol w:w="212"/>
        <w:gridCol w:w="647"/>
        <w:gridCol w:w="6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5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30, 2024</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59"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6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13,329</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19,380</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0.69</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RSU's and options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13,329</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19,418</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213,851 anti-dilutive shares have been excluded in the computation of EPS for the three months ended March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671" w:type="dxa"/>
        <w:jc w:val="left"/>
        <w:tblInd w:w="0" w:type="dxa"/>
        <w:tblLayout w:type="fixed"/>
        <w:tblCellMar>
          <w:top w:w="0" w:type="dxa"/>
          <w:left w:w="0" w:type="dxa"/>
          <w:bottom w:w="0" w:type="dxa"/>
          <w:right w:w="0" w:type="dxa"/>
        </w:tblCellMar>
      </w:tblPr>
      <w:tblGrid>
        <w:gridCol w:w="6020"/>
        <w:gridCol w:w="60"/>
        <w:gridCol w:w="189"/>
        <w:gridCol w:w="895"/>
        <w:gridCol w:w="81"/>
        <w:gridCol w:w="81"/>
        <w:gridCol w:w="116"/>
        <w:gridCol w:w="1148"/>
        <w:gridCol w:w="81"/>
        <w:gridCol w:w="81"/>
        <w:gridCol w:w="213"/>
        <w:gridCol w:w="646"/>
        <w:gridCol w:w="6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March 30, 2024</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1"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6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20,611</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19,362</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and options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20,611</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19,411</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214,932 anti-dilutive shares have been excluded in the computation of EPS for the six months ended March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6</w:t>
      </w:r>
      <w:r>
        <w:rPr>
          <w:rFonts w:ascii="Times New Roman" w:hAnsi="Times New Roman"/>
          <w:caps w:val="false"/>
          <w:smallCaps w:val="false"/>
          <w:sz w:val="20"/>
        </w:rPr>
        <w:t xml:space="preserve">            </w:t>
      </w:r>
      <w:r>
        <w:rPr>
          <w:rFonts w:ascii="Times New Roman" w:hAnsi="Times New Roman"/>
          <w:b/>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March 29, 2025, the Company has two stock-based employee compensation plans. Pre—tax share-based compensation expense was recognized as follows:</w:t>
      </w:r>
    </w:p>
    <w:p>
      <w:pPr>
        <w:pStyle w:val="TextBody"/>
        <w:bidi w:val="0"/>
        <w:spacing w:before="0" w:after="0"/>
        <w:ind w:left="0" w:right="0" w:hanging="0"/>
        <w:jc w:val="left"/>
        <w:rPr>
          <w:caps w:val="false"/>
          <w:smallCaps w:val="false"/>
        </w:rPr>
      </w:pPr>
      <w:r>
        <w:rPr>
          <w:caps w:val="false"/>
          <w:smallCaps w:val="false"/>
        </w:rPr>
        <w:t> </w:t>
      </w:r>
    </w:p>
    <w:tbl>
      <w:tblPr>
        <w:tblW w:w="7702" w:type="dxa"/>
        <w:jc w:val="left"/>
        <w:tblInd w:w="0" w:type="dxa"/>
        <w:tblLayout w:type="fixed"/>
        <w:tblCellMar>
          <w:top w:w="0" w:type="dxa"/>
          <w:left w:w="0" w:type="dxa"/>
          <w:bottom w:w="0" w:type="dxa"/>
          <w:right w:w="0" w:type="dxa"/>
        </w:tblCellMar>
      </w:tblPr>
      <w:tblGrid>
        <w:gridCol w:w="3620"/>
        <w:gridCol w:w="60"/>
        <w:gridCol w:w="182"/>
        <w:gridCol w:w="707"/>
        <w:gridCol w:w="77"/>
        <w:gridCol w:w="77"/>
        <w:gridCol w:w="182"/>
        <w:gridCol w:w="707"/>
        <w:gridCol w:w="60"/>
        <w:gridCol w:w="60"/>
        <w:gridCol w:w="181"/>
        <w:gridCol w:w="708"/>
        <w:gridCol w:w="66"/>
        <w:gridCol w:w="66"/>
        <w:gridCol w:w="181"/>
        <w:gridCol w:w="708"/>
        <w:gridCol w:w="6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3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6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purchase plan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6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issued to outside directors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share units issued to employees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w:t>
            </w:r>
          </w:p>
        </w:tc>
        <w:tc>
          <w:tcPr>
            <w:tcW w:w="6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share units issued to employees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3,208</w:t>
            </w:r>
          </w:p>
        </w:tc>
        <w:tc>
          <w:tcPr>
            <w:tcW w:w="6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benefits</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Stock Options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fair value of each option grant is estimated on the date of grant using the Black-Scholes options-pricing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 is based on the historical volatility of the price of our common shares over the past 51 months for 5-year options and 10 years for 10-year options. We use historical information to estimate expected life and forfeitures within the valuation model. The expected term of awards represents the period of time that options granted are expected to be outstanding. The risk-free rate for periods within the expected life of the option is based on the U.S. Treasury yield curve in effect at the time of grant. Compensation cost is recognized using a straight-line method over the vesting or service period and is net of estimated forfeitures.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Company did not grant any stock options during the six months ended March 29, 2025, or during the six months ended March 30, 2024.</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Restricted Stock Units and Performance Stock Units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During the six months ended March 29, 2025, the Company issued 13,557 service share units (“RSU”)’s. During the three and six months ended March 30, 2024, the Company issued 1,795 and 11,546 RSU’s, respectively. Each RSU entitles the awardee to one share of common stock upon vesting. The fair value of the RSU’s was determined based upon the closing price of the Company’s common stock on the date of grant. No such RSU’s were issued in the three months ended 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During the six months ended March 29, 2025, the Company issued 13,548 performance share units (“PSU”)’s. During the three and six months ended March 30, 2024, the Company issued 1,795 and 11,538 PSU’s, respectively. Each PSU may result in the issuance of up to two shares of common stock upon vesting, dependent upon the level of achievement of the applicable Performance Goal. The fair value of the PSU’s was determined based upon the closing price of the Company’s common stock on the date of grant. Additionally, the Company applies a quarterly probability assessment in computing this non-cash compensation expense, and any change in estimate is reflected as a cumulative adjustment to expense in the quarter of the change. No such PSU’s were issued in the three months ended March 29, 2025.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7</w:t>
      </w:r>
      <w:r>
        <w:rPr>
          <w:rFonts w:ascii="Times New Roman" w:hAnsi="Times New Roman"/>
          <w:caps w:val="false"/>
          <w:smallCaps w:val="false"/>
          <w:sz w:val="20"/>
        </w:rPr>
        <w:t xml:space="preserve">            </w:t>
      </w: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account for our income taxes under the liability method. Under the liability method, deferred tax assets and liabilities are determined based on the difference between the financial statement and tax bases of assets and liabilities as measured by the enacted tax rates that will be in effect when these differences reverse. Deferred tax expense is the result of changes in deferred tax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Additionally, we recognize a liability for income taxes and associated penalties and interest for tax positions taken or expected to be taken in a tax return which are more likely than not to be overturned by taxing authorities (“uncertain tax positions”). We have not recognized a tax benefit in our financial statements for these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total amount of gross unrecognized tax benefits is $0.3 million on both March 29, 2025 and September 28, 2024, all of which would impact our effective tax rate over time, if recognized. We recognize interest and penalties related to uncertain tax positions as a part of the provision for income taxes. As of March 29, 2025 and September 28, 2024, the Company has $0.3 million of accrued interest and penalties, respectively.</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addition to our federal tax return and tax returns for Mexico and Canada, we file tax returns in all states that have a corporate income tax. Virtually all the returns noted above are open for examination for three to four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effective tax rate for the three months and six month ended March 29, 2025 was 27.2%, which is higher than the company’s 21.0% statutory tax rate primarily as a result of state income taxes, and the tax effect in foreign jurisdictions. Our effective tax rate was 26.6% in the three and six months ended March 30, 2024, which was higher than the company’s 21.0% statutory tax rate primarily as a result of state income taxes, and the tax effect in foreign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 xml:space="preserve">Note 8 </w:t>
      </w:r>
      <w:r>
        <w:rPr>
          <w:rFonts w:ascii="Times New Roman" w:hAnsi="Times New Roman"/>
          <w:caps w:val="false"/>
          <w:smallCaps w:val="false"/>
          <w:sz w:val="20"/>
        </w:rPr>
        <w:t xml:space="preserve">           </w:t>
      </w:r>
      <w:r>
        <w:rPr>
          <w:rFonts w:ascii="Times New Roman" w:hAnsi="Times New Roman"/>
          <w:b/>
          <w:caps w:val="false"/>
          <w:smallCaps w:val="false"/>
          <w:sz w:val="20"/>
        </w:rPr>
        <w:t>New Accounting Pronouncements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November 2023, the FASB issued ASU No. 2023-07 “Segment Reporting (Topic 280): Improvements to Reportable Segment Disclosures.” This guidance requires all public entities to provide enhanced disclosures about significant segment expenses. The amendments in this ASU are to be applied retrospectively and are effective for fiscal years beginning after December 15, 2023 and for interim periods within fiscal years beginning after December 15, 2024.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December 2023, the FASB issued ASU No. 2023-09 “Income Taxes (Topic 740): Improvements to Income Tax Disclosures.” This guidance enhances the transparency around income tax information through improvements to income tax disclosures, primarily related to the effective rate reconciliation and income taxes paid, to improve the overall effectiveness of income tax disclosures. The amendments in the ASU are effective for fiscal years beginning after December 15, 2024, with early adoption permitted.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November 2024, the FASB issued ASU No. 2024-03, “Income Statement – Reporting Comprehensive Income – Expense Disaggregation Disclosures.” This guidance improves disclosure requirements and provides more detailed information around an entity’s expenses, specifically amounts related to purchases of inventory, employee compensation, depreciation, intangible asset amortization, and selling expenses, along with qualitative descriptions of certain other types of expenses. This guidance is effective for fiscal years beginning after December 15, 2026, and interim periods within fiscal years beginning after December 15, 2027, with early adoption permitted.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9 </w:t>
      </w:r>
      <w:r>
        <w:rPr>
          <w:rFonts w:ascii="Times New Roman" w:hAnsi="Times New Roman"/>
          <w:caps w:val="false"/>
          <w:smallCaps w:val="false"/>
          <w:sz w:val="20"/>
        </w:rPr>
        <w:t xml:space="preserve">           </w:t>
      </w:r>
      <w:r>
        <w:rPr>
          <w:rFonts w:ascii="Times New Roman" w:hAnsi="Times New Roman"/>
          <w:b/>
          <w:caps w:val="false"/>
          <w:smallCaps w:val="false"/>
          <w:sz w:val="20"/>
        </w:rPr>
        <w:t>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December 2021, the Company entered into an amended and restated loan agreement (the “Credit Agreement”) with our existing banks which provided for up to a $50 million revolving credit facility repayable in December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Interest accrues, at the Company’s election at (i) the BSBY Rate (as defined in the Credit Agreement), plus an applicable margin, based upon the Consolidated Net Leverage Ratio, as defined in the Credit Agreement, or (ii) the Alternate Base Rate (a rate based on the higher of (a) the prime rate announced from time-to-time by the Administrative Agent, (b) the Federal Reserve System’s federal funds rate, plus 0.50% or (c) the Daily BSBY Rate, plus an applicable margin). The Alternate Base Rate is defined in the Credit Agreement.</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requires the Company to comply with various affirmative and negative covenants, including without limitation (i) covenants to maintain a minimum specified interest coverage ratio and maximum specified net leverage ratio, and (ii) subject to certain exceptions, covenants that prevent or restrict the Company’s ability to pay dividends, engage in certain mergers or acquisitions, make certain investments or loans, incur future indebtedness, alter its capital structure or line of business, prepay subordinated indebtedness, engage in certain transactions with affiliates, or amend its organizational documents. As of March 29, 2025, the Company is in compliance with all financial covenants and terms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June 21, 2022, the Company entered into an amendment to the Credit Agreement, the “Amended Credit Agreement” which provided for an incremental increase of $175 million in available borrowings. The Amended Credit Agreement also includes an option to increase the size of the revolving credit facility by up to an amount not to exceed in the aggregate the greater of $225 million or, $50 million plus the Consolidated EBITDA of the Borrowers, subject to the satisfaction of certain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March 29, 2025, and as of September 28, 2024, there was no outstanding balance under the Amended Credit Agreement. As of March 29, 2025, and as of September 28, 2024, the amount available under the Amended Credit Agreement was $212.7 million, after giving effect to the outstanding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10</w:t>
      </w:r>
      <w:r>
        <w:rPr>
          <w:rFonts w:ascii="Times New Roman" w:hAnsi="Times New Roman"/>
          <w:caps w:val="false"/>
          <w:smallCaps w:val="false"/>
          <w:sz w:val="20"/>
        </w:rPr>
        <w:t xml:space="preserve">          </w:t>
      </w:r>
      <w:r>
        <w:rPr>
          <w:rFonts w:ascii="Times New Roman" w:hAnsi="Times New Roman"/>
          <w:b/>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Inventories consist of the following:</w:t>
      </w:r>
    </w:p>
    <w:p>
      <w:pPr>
        <w:pStyle w:val="TextBody"/>
        <w:bidi w:val="0"/>
        <w:spacing w:before="0" w:after="0"/>
        <w:ind w:left="0" w:right="0" w:hanging="0"/>
        <w:jc w:val="left"/>
        <w:rPr>
          <w:caps w:val="false"/>
          <w:smallCaps w:val="false"/>
        </w:rPr>
      </w:pPr>
      <w:r>
        <w:rPr>
          <w:caps w:val="false"/>
          <w:smallCaps w:val="false"/>
        </w:rPr>
        <w:t> </w:t>
      </w:r>
    </w:p>
    <w:tbl>
      <w:tblPr>
        <w:tblW w:w="4603" w:type="dxa"/>
        <w:jc w:val="left"/>
        <w:tblInd w:w="0" w:type="dxa"/>
        <w:tblLayout w:type="fixed"/>
        <w:tblCellMar>
          <w:top w:w="0" w:type="dxa"/>
          <w:left w:w="0" w:type="dxa"/>
          <w:bottom w:w="0" w:type="dxa"/>
          <w:right w:w="0" w:type="dxa"/>
        </w:tblCellMar>
      </w:tblPr>
      <w:tblGrid>
        <w:gridCol w:w="2165"/>
        <w:gridCol w:w="60"/>
        <w:gridCol w:w="149"/>
        <w:gridCol w:w="830"/>
        <w:gridCol w:w="60"/>
        <w:gridCol w:w="60"/>
        <w:gridCol w:w="185"/>
        <w:gridCol w:w="1034"/>
        <w:gridCol w:w="60"/>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1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86,470</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29,830</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Packaging materials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12,649</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parts and other</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44,192</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173,141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11</w:t>
      </w:r>
      <w:r>
        <w:rPr>
          <w:rFonts w:ascii="Times New Roman" w:hAnsi="Times New Roman"/>
          <w:caps w:val="false"/>
          <w:smallCaps w:val="false"/>
          <w:sz w:val="20"/>
        </w:rPr>
        <w:t xml:space="preserve">          </w:t>
      </w:r>
      <w:r>
        <w:rPr>
          <w:rFonts w:ascii="Times New Roman" w:hAnsi="Times New Roman"/>
          <w:b/>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reportable segments are Food Service, Retail Supermarkets, and Frozen Beverages. We principally sell our products to the food service and retail supermarket industries. Sales and results of our frozen beverages business are monitored separately from the balance of our food service business because of different distribution and capital requirements. We maintain separate and discrete financial information for the three operating segments mentioned below which is available to our Chief Operating Decision Maker.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All inter-segment net sales and expenses have been eliminated in computing net sales and operating income. These segments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Food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primary products sold by the Food Service segment are soft pretzels, frozen novelties, churros, handheld products and baked goods. Our customers in the Food Service segment include snack bars and food stands in chain, department and discount stores; malls and shopping centers; casual dining restaurants; fast food and casual dining restaurants; stadiums and sports arenas; leisure and theme parks; convenience stores; movie theatres; warehouse club stores; schools, colleges and other institutions. Within the food service industry, our products are purchased by the consumer primarily for consumption at the point-of-sale or for take-away.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Retail Supermarkets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primary products sold to the retail supermarket channel are soft pretzel products – including SUPERPRETZEL and AUNTIE ANNE’S, frozen novelties including LUIGI’S Real Italian Ice, MINUTE MAID Juice Bars and Soft Frozen Lemonade, WHOLE FRUIT frozen fruit bars and sorbet, DOGSTERS ice cream style treats for dogs, PHILLY SWIRL cups and sticks, ICEE Squeeze-Up Tubes, DIPPIN’ DOTS Sundaes and handheld products. Within the retail supermarket channel, our frozen and prepackaged products are purchased by the consumer for consumption at home.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Frozen Beverages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sell frozen beverages to the foodservice industry primarily under the names ICEE, SLUSH PUPPIE and PARROT ICE in the United States, Mexico and Canada. We also provide repair and maintenance services to customers for customer-owned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Chief Operating Decision Maker for Food Service, Retail Supermarkets and Frozen Beverages reviews monthly detailed operating income statements and sales reports in order to assess performance and allocate resources to each individual segment. Sales and operating income are key variables monitored by the Chief Operating Decision Maker and management when determining each segment’s and the company’s financial condition and operating performance. In addition, the Chief Operating Decision Maker reviews and evaluates depreciation, capital spending and assets of each segment on a quarterly basis to monitor cash flow and asset needs of each segment. Information regarding the operations in these three reportable segments is as follows:</w:t>
      </w:r>
    </w:p>
    <w:p>
      <w:pPr>
        <w:pStyle w:val="TextBody"/>
        <w:bidi w:val="0"/>
        <w:spacing w:before="0" w:after="0"/>
        <w:ind w:left="0" w:right="0" w:hanging="0"/>
        <w:jc w:val="left"/>
        <w:rPr>
          <w:caps w:val="false"/>
          <w:smallCaps w:val="false"/>
        </w:rPr>
      </w:pPr>
      <w:r>
        <w:rPr>
          <w:caps w:val="false"/>
          <w:smallCaps w:val="false"/>
        </w:rPr>
        <w:t> </w:t>
      </w:r>
    </w:p>
    <w:tbl>
      <w:tblPr>
        <w:tblW w:w="7415" w:type="dxa"/>
        <w:jc w:val="left"/>
        <w:tblInd w:w="0" w:type="dxa"/>
        <w:tblLayout w:type="fixed"/>
        <w:tblCellMar>
          <w:top w:w="0" w:type="dxa"/>
          <w:left w:w="0" w:type="dxa"/>
          <w:bottom w:w="0" w:type="dxa"/>
          <w:right w:w="0" w:type="dxa"/>
        </w:tblCellMar>
      </w:tblPr>
      <w:tblGrid>
        <w:gridCol w:w="2960"/>
        <w:gridCol w:w="60"/>
        <w:gridCol w:w="125"/>
        <w:gridCol w:w="845"/>
        <w:gridCol w:w="80"/>
        <w:gridCol w:w="60"/>
        <w:gridCol w:w="125"/>
        <w:gridCol w:w="845"/>
        <w:gridCol w:w="80"/>
        <w:gridCol w:w="60"/>
        <w:gridCol w:w="125"/>
        <w:gridCol w:w="845"/>
        <w:gridCol w:w="80"/>
        <w:gridCol w:w="60"/>
        <w:gridCol w:w="125"/>
        <w:gridCol w:w="845"/>
        <w:gridCol w:w="9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9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9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9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to external customers: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pretzels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104,456</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novelties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48,763</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Churros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58,886</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Handhelds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41,551</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Bakery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193,889</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11,054</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229,990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464,936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458,599</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pretzels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34,900</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novelties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36,537</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Biscuits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13,239</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Handhelds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12,704</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Coupon redemption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Retail Supermarket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96,649</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86,616</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 and maintenance service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47,790</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Machines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17,110</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Frozen Beverages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152,794</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718,697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708,042</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21,846</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11,294</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depreciation and amortization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34,192</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13,947</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5,562</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8,078</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27,587</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21,229</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15,395</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capital expenditures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36,626</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963,870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963,870</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36,650</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347,542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347,542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335,086</w:t>
            </w:r>
          </w:p>
        </w:tc>
        <w:tc>
          <w:tcPr>
            <w:tcW w:w="9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1,335,606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12</w:t>
      </w:r>
      <w:r>
        <w:rPr>
          <w:rFonts w:ascii="Times New Roman" w:hAnsi="Times New Roman"/>
          <w:caps w:val="false"/>
          <w:smallCaps w:val="false"/>
          <w:sz w:val="20"/>
        </w:rPr>
        <w:t xml:space="preserve">          </w:t>
      </w:r>
      <w:r>
        <w:rPr>
          <w:rFonts w:ascii="Times New Roman" w:hAnsi="Times New Roman"/>
          <w:b/>
          <w:caps w:val="false"/>
          <w:smallCaps w:val="false"/>
          <w:sz w:val="20"/>
        </w:rPr>
        <w:t>Goodwill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reportable segments are Food Service, Retail Supermarkets and Frozen Beverages.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carrying amounts of acquired intangible assets for the Food Service, Retail Supermarkets and Frozen Beverages segments as of March 29, 2025 and September 28, 2024 are as follows:</w:t>
      </w:r>
    </w:p>
    <w:p>
      <w:pPr>
        <w:pStyle w:val="TextBody"/>
        <w:bidi w:val="0"/>
        <w:spacing w:before="0" w:after="0"/>
        <w:ind w:left="0" w:right="0" w:hanging="0"/>
        <w:jc w:val="left"/>
        <w:rPr>
          <w:caps w:val="false"/>
          <w:smallCaps w:val="false"/>
        </w:rPr>
      </w:pPr>
      <w:r>
        <w:rPr>
          <w:caps w:val="false"/>
          <w:smallCaps w:val="false"/>
        </w:rPr>
        <w:t> </w:t>
      </w:r>
    </w:p>
    <w:tbl>
      <w:tblPr>
        <w:tblW w:w="7446" w:type="dxa"/>
        <w:jc w:val="left"/>
        <w:tblInd w:w="0" w:type="dxa"/>
        <w:tblLayout w:type="fixed"/>
        <w:tblCellMar>
          <w:top w:w="0" w:type="dxa"/>
          <w:left w:w="0" w:type="dxa"/>
          <w:bottom w:w="0" w:type="dxa"/>
          <w:right w:w="0" w:type="dxa"/>
        </w:tblCellMar>
      </w:tblPr>
      <w:tblGrid>
        <w:gridCol w:w="2975"/>
        <w:gridCol w:w="60"/>
        <w:gridCol w:w="125"/>
        <w:gridCol w:w="695"/>
        <w:gridCol w:w="60"/>
        <w:gridCol w:w="60"/>
        <w:gridCol w:w="202"/>
        <w:gridCol w:w="958"/>
        <w:gridCol w:w="60"/>
        <w:gridCol w:w="60"/>
        <w:gridCol w:w="127"/>
        <w:gridCol w:w="707"/>
        <w:gridCol w:w="61"/>
        <w:gridCol w:w="61"/>
        <w:gridCol w:w="202"/>
        <w:gridCol w:w="958"/>
        <w:gridCol w:w="75"/>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0"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29,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 2024</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6"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7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85,424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agreements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12,369</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23,110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5,170</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and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146,298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22,108</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RETAIL SUPERMARKETS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Licenses and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FROZEN BEVERAGES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206,490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Amortizing intangible assets are being amortized by the straight-line method over periods ranging from 2 to 20 years and amortization expense is reflected throughout operating expenses. Aggregate amortization expense of intangible assets for the three months ended March 29, 2025 and March 30, 2024 was $2.0 million and $1.6 million, respectively. Aggregate amortization expense of intangible assets for the six months ended March 29, 2025 and March 30, 2024 was $3.9 million and $3.2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Estimated amortization expense for the next five fiscal years is approximately $3.8 million in 2025 (excluding the six months ended March 29, 2025), $6.6 million in 2026, $4.7 million in 2027, and $4.3 million in both 2028 and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weighted amortization period of the intangible assets, in total, is 10.0 years. The weighted amortization period by intangible asset class is 10 years for Technology, 10 years for Customer relationships, 20 years for Licenses &amp; rights, 10 years for Franchise agreements, and 2 years for Trade names.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u w:val="single"/>
        </w:rPr>
        <w:t xml:space="preserve">Goodwill </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carrying amounts of goodwill for the Food Service, Retail Supermarket and Frozen Beverage segments are as follows:</w:t>
      </w:r>
    </w:p>
    <w:p>
      <w:pPr>
        <w:pStyle w:val="TextBody"/>
        <w:bidi w:val="0"/>
        <w:spacing w:before="0" w:after="0"/>
        <w:ind w:left="0" w:right="0" w:hanging="0"/>
        <w:jc w:val="left"/>
        <w:rPr>
          <w:caps w:val="false"/>
          <w:smallCaps w:val="false"/>
        </w:rPr>
      </w:pPr>
      <w:r>
        <w:rPr>
          <w:caps w:val="false"/>
          <w:smallCaps w:val="false"/>
        </w:rPr>
        <w:t> </w:t>
      </w:r>
    </w:p>
    <w:tbl>
      <w:tblPr>
        <w:tblW w:w="3928" w:type="dxa"/>
        <w:jc w:val="left"/>
        <w:tblInd w:w="0" w:type="dxa"/>
        <w:tblLayout w:type="fixed"/>
        <w:tblCellMar>
          <w:top w:w="0" w:type="dxa"/>
          <w:left w:w="0" w:type="dxa"/>
          <w:bottom w:w="0" w:type="dxa"/>
          <w:right w:w="0" w:type="dxa"/>
        </w:tblCellMar>
      </w:tblPr>
      <w:tblGrid>
        <w:gridCol w:w="1580"/>
        <w:gridCol w:w="60"/>
        <w:gridCol w:w="135"/>
        <w:gridCol w:w="754"/>
        <w:gridCol w:w="60"/>
        <w:gridCol w:w="60"/>
        <w:gridCol w:w="185"/>
        <w:gridCol w:w="1034"/>
        <w:gridCol w:w="60"/>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w:t>
            </w:r>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124,426</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4,146</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56,498</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goodwill</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13</w:t>
      </w:r>
      <w:r>
        <w:rPr>
          <w:rFonts w:ascii="Times New Roman" w:hAnsi="Times New Roman"/>
          <w:caps w:val="false"/>
          <w:smallCaps w:val="false"/>
          <w:sz w:val="20"/>
        </w:rPr>
        <w:t xml:space="preserve">          </w:t>
      </w:r>
      <w:r>
        <w:rPr>
          <w:rFonts w:ascii="Times New Roman" w:hAnsi="Times New Roman"/>
          <w:b/>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are a party to litigation which has arisen in the normal course of business which management currently believes will not have a material adverse effect on our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self-insure, up to loss limits, certain insurable risks such as workers’ compensation, automobile, and general liability claims. Accruals for claims under our self-insurance program are recorded on a claims incurred basis. Our total recorded liability for all years’ claims incurred but not yet paid was $15.9 million and $15.3 million at March 29, 2025 and September 28, 2024, respectively. In connection with certain self-insurance agreements, we customarily enter into letters of credit arrangements with our insurers. At both March 29, 2025 and September 28, 2024, we had outstanding letters of credit totaling $12.3 million.</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a self-insured medical plan which covers approximately 1,800 of our employees. We record a liability for incurred but not yet reported or paid claims based on our historical experience of claim payments and a calculated lag time period. Our recorded liability at March 29, 2025 and September 28, 2024 was $1.6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August 19, 2024, we experienced a fire at our Holly Ridge plant in North Carolina. The building was damaged as a result of the fire, and plant operations were interrupted. We maintain property, general liability and business interruption insurance coverage. Based on the provisions of our insurance policies, we record estimated insurance recoveries for fire related costs for which recovery is deemed to be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the three months ended September 28, 2024, we recorded $6.8 million of fire related costs, for all of which recovery was deemed to be probable, and we received $5.0 million of insurance proceeds for inventory, fixed asset losses, and other fire related costs. Additionally, we recorded an insurance receivable, net of advance proceeds received, for other fire related costs for which recovery was deemed probable of $1.8 million, which was recorded in prepaid expenses and other, in the Consolidated Balance Sheet as of September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the three and six months ended March 29, 2025, we recorded an additional $1.8 million and $10.1 million of fire related costs, respectively, for all of which recovery was deemed to be probable. In the three and six months ended March 29, 2025, we received $1.5 million and $2.5 million of insurance proceeds for inventory and business interruption losses, respectively. Additionally, for the three and six month periods ended March 29, 2025, we recorded a gain of $0.3 million and $0.8 million, respectively, in cost of goods sold in the Consolidated Statement of Earnings representing the proceeds received in excess of losses recognized and we recorded an insurance receivable, net of advance proceeds received, for other fire related costs for which recovery was deemed probable of $10.2 million, which was recorded in prepaid expenses and other, in the Consolidated Balance Sheet as of March 29, 2025.</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14</w:t>
      </w:r>
      <w:r>
        <w:rPr>
          <w:rFonts w:ascii="Times New Roman" w:hAnsi="Times New Roman"/>
          <w:caps w:val="false"/>
          <w:smallCaps w:val="false"/>
          <w:sz w:val="20"/>
        </w:rPr>
        <w:t xml:space="preserve">          </w:t>
      </w:r>
      <w:r>
        <w:rPr>
          <w:rFonts w:ascii="Times New Roman" w:hAnsi="Times New Roman"/>
          <w:b/>
          <w:caps w:val="false"/>
          <w:smallCaps w:val="false"/>
          <w:sz w:val="20"/>
        </w:rPr>
        <w:t>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Changes to the components of accumulated other comprehensive loss are as follows:</w:t>
      </w:r>
    </w:p>
    <w:p>
      <w:pPr>
        <w:pStyle w:val="TextBody"/>
        <w:bidi w:val="0"/>
        <w:spacing w:before="0" w:after="0"/>
        <w:ind w:left="0" w:right="0" w:hanging="0"/>
        <w:jc w:val="left"/>
        <w:rPr>
          <w:caps w:val="false"/>
          <w:smallCaps w:val="false"/>
        </w:rPr>
      </w:pPr>
      <w:r>
        <w:rPr>
          <w:caps w:val="false"/>
          <w:smallCaps w:val="false"/>
        </w:rPr>
        <w:t> </w:t>
      </w:r>
    </w:p>
    <w:tbl>
      <w:tblPr>
        <w:tblW w:w="10133" w:type="dxa"/>
        <w:jc w:val="left"/>
        <w:tblInd w:w="0" w:type="dxa"/>
        <w:tblLayout w:type="fixed"/>
        <w:tblCellMar>
          <w:top w:w="0" w:type="dxa"/>
          <w:left w:w="0" w:type="dxa"/>
          <w:bottom w:w="0" w:type="dxa"/>
          <w:right w:w="0" w:type="dxa"/>
        </w:tblCellMar>
      </w:tblPr>
      <w:tblGrid>
        <w:gridCol w:w="4145"/>
        <w:gridCol w:w="60"/>
        <w:gridCol w:w="218"/>
        <w:gridCol w:w="1136"/>
        <w:gridCol w:w="87"/>
        <w:gridCol w:w="65"/>
        <w:gridCol w:w="252"/>
        <w:gridCol w:w="1102"/>
        <w:gridCol w:w="80"/>
        <w:gridCol w:w="60"/>
        <w:gridCol w:w="218"/>
        <w:gridCol w:w="1136"/>
        <w:gridCol w:w="80"/>
        <w:gridCol w:w="60"/>
        <w:gridCol w:w="218"/>
        <w:gridCol w:w="1136"/>
        <w:gridCol w:w="8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 2025</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 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 2024</w:t>
            </w:r>
          </w:p>
        </w:tc>
        <w:tc>
          <w:tcPr>
            <w:tcW w:w="8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4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41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Foreign currency translation adjustments</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(17,876</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 adjustment gain (loss)</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2,283</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(17,444</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(17,444</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15</w:t>
      </w:r>
      <w:r>
        <w:rPr>
          <w:rFonts w:ascii="Times New Roman" w:hAnsi="Times New Roman"/>
          <w:caps w:val="false"/>
          <w:smallCaps w:val="false"/>
          <w:sz w:val="20"/>
        </w:rPr>
        <w:t xml:space="preserve">          </w:t>
      </w: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General Lease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operating leases with initial noncancelable lease terms in excess of one year covering the rental of various facilities and equipment. Certain of these leases contain renewal options and some provide options to purchase during the lease term. Our operating leases include leases for real estate for some of our office and manufacturing facilities as well as manufacturing and non-manufacturing equipment used in our business. The remaining lease terms for these operating leases range from 1 month to 19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finance leases with initial noncancelable lease terms in excess of one year covering the rental of various equipment. These leases are generally for manufacturing and non-manufacturing equipment used in our business. The remaining lease terms for these finance leases range from 1 year to 7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u w:val="single"/>
        </w:rPr>
        <w:t>Significant Assumptions and Judgments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i/>
          <w:caps w:val="false"/>
          <w:smallCaps w:val="false"/>
          <w:sz w:val="20"/>
        </w:rPr>
      </w:pPr>
      <w:r>
        <w:rPr>
          <w:rFonts w:ascii="Times New Roman" w:hAnsi="Times New Roman"/>
          <w:i/>
          <w:caps w:val="false"/>
          <w:smallCaps w:val="false"/>
          <w:sz w:val="20"/>
        </w:rPr>
        <w:t>Contract Contains a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evaluating our contracts to determine whether a contract is or contains a lease, we considered the following:</w:t>
      </w:r>
    </w:p>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60"/>
        <w:gridCol w:w="110"/>
        <w:gridCol w:w="72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Whether explicitly or implicitly identified assets have been deployed in the contract;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Whether we obtain substantially all of the economic benefits from the use of that underlying asset, and we can direct how and for what purpose the asset is used during the term of the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i/>
          <w:caps w:val="false"/>
          <w:smallCaps w:val="false"/>
          <w:sz w:val="20"/>
        </w:rPr>
      </w:pPr>
      <w:r>
        <w:rPr>
          <w:rFonts w:ascii="Times New Roman" w:hAnsi="Times New Roman"/>
          <w:i/>
          <w:caps w:val="false"/>
          <w:smallCaps w:val="false"/>
          <w:sz w:val="20"/>
        </w:rPr>
        <w:t>Allocation of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determining how to allocate consideration between lease and non-lease components in a contract that was deemed to contain a lease, we used judgment and consistent application of assumptions to reasonably allocate the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i/>
          <w:caps w:val="false"/>
          <w:smallCaps w:val="false"/>
          <w:sz w:val="20"/>
        </w:rPr>
      </w:pPr>
      <w:r>
        <w:rPr>
          <w:rFonts w:ascii="Times New Roman" w:hAnsi="Times New Roman"/>
          <w:i/>
          <w:caps w:val="false"/>
          <w:smallCaps w:val="false"/>
          <w:sz w:val="20"/>
        </w:rPr>
        <w:t>Options to Extend or Terminate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leases which contain options to extend or terminate the leases. On a lease-by-lease basis, we have determined if the extension should be considered reasonably certain to be exercised and thus a right-of-use asset and a lease liability should be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i/>
          <w:caps w:val="false"/>
          <w:smallCaps w:val="false"/>
          <w:sz w:val="20"/>
        </w:rPr>
      </w:pPr>
      <w:r>
        <w:rPr>
          <w:rFonts w:ascii="Times New Roman" w:hAnsi="Times New Roman"/>
          <w:i/>
          <w:caps w:val="false"/>
          <w:smallCaps w:val="false"/>
          <w:sz w:val="20"/>
        </w:rPr>
        <w:t>Discount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discount rate for leases, if not explicitly stated in the lease, is the incremental borrowing rate, which is the rate of interest that we would have to pay to borrow on a collateralized basis over a similar term an amount equal to the lease payments in a similar 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used the discount rate to calculate the present value of the lease liability at the date of adoption. In the development of the discount rate, we considered our incremental borrowing rate as provided by our lender which was based on cash collateral and credit risk specific to us, and our lease portfolio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March 29, 2025, the weighted-average discount rate of our operating and finance leases was 5.3% and 4.7%, respectively. As of September 28, 2024, the weighted-average discount rate of our operating and finance leases was 5.2% and 4.0%,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Practical Expedients and Accounting Policy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elected the package of practical expedients that permits us not to reassess our prior conclusions about lease identification, lease classification and initial direct costs and made an accounting policy election to exclude short-term leases with an initial term of 12 months or less from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Amounts Recognized in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lease expense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37"/>
        <w:gridCol w:w="60"/>
        <w:gridCol w:w="291"/>
        <w:gridCol w:w="1130"/>
        <w:gridCol w:w="60"/>
        <w:gridCol w:w="60"/>
        <w:gridCol w:w="291"/>
        <w:gridCol w:w="1130"/>
        <w:gridCol w:w="60"/>
        <w:gridCol w:w="60"/>
        <w:gridCol w:w="222"/>
        <w:gridCol w:w="1049"/>
        <w:gridCol w:w="60"/>
        <w:gridCol w:w="60"/>
        <w:gridCol w:w="222"/>
        <w:gridCol w:w="1049"/>
        <w:gridCol w:w="64"/>
      </w:tblGrid>
      <w:tr>
        <w:trPr/>
        <w:tc>
          <w:tcPr>
            <w:tcW w:w="4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4" w:type="dxa"/>
            <w:tcBorders/>
            <w:vAlign w:val="center"/>
          </w:tcPr>
          <w:p>
            <w:pPr>
              <w:pStyle w:val="TableContents"/>
              <w:bidi w:val="0"/>
              <w:spacing w:before="0" w:after="283"/>
              <w:jc w:val="left"/>
              <w:rPr/>
            </w:pPr>
            <w:r>
              <w:rPr/>
              <w:t> </w:t>
            </w:r>
          </w:p>
        </w:tc>
      </w:tr>
      <w:tr>
        <w:trPr/>
        <w:tc>
          <w:tcPr>
            <w:tcW w:w="4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 2024</w:t>
            </w:r>
          </w:p>
        </w:tc>
        <w:tc>
          <w:tcPr>
            <w:tcW w:w="64" w:type="dxa"/>
            <w:tcBorders/>
            <w:vAlign w:val="center"/>
          </w:tcPr>
          <w:p>
            <w:pPr>
              <w:pStyle w:val="TableContents"/>
              <w:bidi w:val="0"/>
              <w:spacing w:before="0" w:after="283"/>
              <w:jc w:val="left"/>
              <w:rPr/>
            </w:pPr>
            <w:r>
              <w:rPr/>
              <w:t> </w:t>
            </w:r>
          </w:p>
        </w:tc>
      </w:tr>
      <w:tr>
        <w:trPr/>
        <w:tc>
          <w:tcPr>
            <w:tcW w:w="43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 in Cost of goods sold and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12,995</w:t>
            </w:r>
          </w:p>
        </w:tc>
        <w:tc>
          <w:tcPr>
            <w:tcW w:w="64" w:type="dxa"/>
            <w:tcBorders/>
            <w:shd w:fill="CCEEFF" w:val="clear"/>
            <w:vAlign w:val="center"/>
          </w:tcPr>
          <w:p>
            <w:pPr>
              <w:pStyle w:val="TableContents"/>
              <w:bidi w:val="0"/>
              <w:spacing w:before="0" w:after="283"/>
              <w:jc w:val="left"/>
              <w:rPr/>
            </w:pPr>
            <w:r>
              <w:rPr/>
              <w:t> </w:t>
            </w:r>
          </w:p>
        </w:tc>
      </w:tr>
      <w:tr>
        <w:trPr/>
        <w:tc>
          <w:tcPr>
            <w:tcW w:w="43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cost:</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433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assets in Cost of goods sold and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64" w:type="dxa"/>
            <w:tcBorders/>
            <w:shd w:fill="CCEEFF" w:val="clear"/>
            <w:vAlign w:val="center"/>
          </w:tcPr>
          <w:p>
            <w:pPr>
              <w:pStyle w:val="TableContents"/>
              <w:bidi w:val="0"/>
              <w:spacing w:before="0" w:after="283"/>
              <w:jc w:val="left"/>
              <w:rPr/>
            </w:pPr>
            <w:r>
              <w:rPr/>
              <w:t> </w:t>
            </w:r>
          </w:p>
        </w:tc>
      </w:tr>
      <w:tr>
        <w:trPr/>
        <w:tc>
          <w:tcPr>
            <w:tcW w:w="433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 in Interest expense &amp; other</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4" w:type="dxa"/>
            <w:tcBorders/>
            <w:shd w:fill="FFFFFF" w:val="clear"/>
            <w:vAlign w:val="center"/>
          </w:tcPr>
          <w:p>
            <w:pPr>
              <w:pStyle w:val="TableContents"/>
              <w:bidi w:val="0"/>
              <w:spacing w:before="0" w:after="283"/>
              <w:jc w:val="left"/>
              <w:rPr/>
            </w:pPr>
            <w:r>
              <w:rPr/>
              <w:t> </w:t>
            </w:r>
          </w:p>
        </w:tc>
      </w:tr>
      <w:tr>
        <w:trPr/>
        <w:tc>
          <w:tcPr>
            <w:tcW w:w="43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finance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64" w:type="dxa"/>
            <w:tcBorders/>
            <w:shd w:fill="CCEEFF" w:val="clear"/>
            <w:vAlign w:val="center"/>
          </w:tcPr>
          <w:p>
            <w:pPr>
              <w:pStyle w:val="TableContents"/>
              <w:bidi w:val="0"/>
              <w:spacing w:before="0" w:after="283"/>
              <w:jc w:val="left"/>
              <w:rPr/>
            </w:pPr>
            <w:r>
              <w:rPr/>
              <w:t> </w:t>
            </w:r>
          </w:p>
        </w:tc>
      </w:tr>
      <w:tr>
        <w:trPr/>
        <w:tc>
          <w:tcPr>
            <w:tcW w:w="43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 in Cost of goods sold and Operating Expenses</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r>
      <w:tr>
        <w:trPr/>
        <w:tc>
          <w:tcPr>
            <w:tcW w:w="4337"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13,116</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Supplemental balance sheet information related to leases is as follows:</w:t>
      </w:r>
    </w:p>
    <w:p>
      <w:pPr>
        <w:pStyle w:val="TextBody"/>
        <w:bidi w:val="0"/>
        <w:spacing w:before="0" w:after="0"/>
        <w:ind w:left="0" w:right="0" w:hanging="0"/>
        <w:jc w:val="left"/>
        <w:rPr/>
      </w:pPr>
      <w:r>
        <w:rPr/>
        <w:t> </w:t>
      </w:r>
    </w:p>
    <w:tbl>
      <w:tblPr>
        <w:tblW w:w="8953" w:type="dxa"/>
        <w:jc w:val="left"/>
        <w:tblInd w:w="0" w:type="dxa"/>
        <w:tblLayout w:type="fixed"/>
        <w:tblCellMar>
          <w:top w:w="0" w:type="dxa"/>
          <w:left w:w="0" w:type="dxa"/>
          <w:bottom w:w="0" w:type="dxa"/>
          <w:right w:w="0" w:type="dxa"/>
        </w:tblCellMar>
      </w:tblPr>
      <w:tblGrid>
        <w:gridCol w:w="5675"/>
        <w:gridCol w:w="60"/>
        <w:gridCol w:w="206"/>
        <w:gridCol w:w="1148"/>
        <w:gridCol w:w="60"/>
        <w:gridCol w:w="60"/>
        <w:gridCol w:w="256"/>
        <w:gridCol w:w="1428"/>
        <w:gridCol w:w="60"/>
      </w:tblGrid>
      <w:tr>
        <w:trPr/>
        <w:tc>
          <w:tcPr>
            <w:tcW w:w="5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28, 2024</w:t>
            </w:r>
          </w:p>
        </w:tc>
        <w:tc>
          <w:tcPr>
            <w:tcW w:w="6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152,383</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19,063</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140,751</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159,814</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right-of-use assets in 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finance lease liabilities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Supplemental cash flow information related to leases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0"/>
        <w:gridCol w:w="60"/>
        <w:gridCol w:w="256"/>
        <w:gridCol w:w="996"/>
        <w:gridCol w:w="60"/>
        <w:gridCol w:w="60"/>
        <w:gridCol w:w="224"/>
        <w:gridCol w:w="1062"/>
        <w:gridCol w:w="60"/>
        <w:gridCol w:w="60"/>
        <w:gridCol w:w="201"/>
        <w:gridCol w:w="950"/>
        <w:gridCol w:w="60"/>
        <w:gridCol w:w="60"/>
        <w:gridCol w:w="201"/>
        <w:gridCol w:w="950"/>
        <w:gridCol w:w="65"/>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 2024</w:t>
            </w:r>
          </w:p>
        </w:tc>
        <w:tc>
          <w:tcPr>
            <w:tcW w:w="6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11,694</w:t>
            </w:r>
          </w:p>
        </w:tc>
        <w:tc>
          <w:tcPr>
            <w:tcW w:w="6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from finance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6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noncash information on lease liabilities arising from obtaining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75,421</w:t>
            </w:r>
          </w:p>
        </w:tc>
        <w:tc>
          <w:tcPr>
            <w:tcW w:w="6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noncash information on lease liabilities removed due to purchase of leased asset</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March 29, 2025, the maturities of lease liabilities were as follows:</w:t>
      </w:r>
    </w:p>
    <w:p>
      <w:pPr>
        <w:pStyle w:val="TextBody"/>
        <w:bidi w:val="0"/>
        <w:spacing w:before="0" w:after="0"/>
        <w:ind w:left="0" w:right="0" w:hanging="0"/>
        <w:jc w:val="left"/>
        <w:rPr/>
      </w:pPr>
      <w:r>
        <w:rPr/>
        <w:t> </w:t>
      </w:r>
    </w:p>
    <w:tbl>
      <w:tblPr>
        <w:tblW w:w="6308" w:type="dxa"/>
        <w:jc w:val="left"/>
        <w:tblInd w:w="0" w:type="dxa"/>
        <w:tblLayout w:type="fixed"/>
        <w:tblCellMar>
          <w:top w:w="0" w:type="dxa"/>
          <w:left w:w="0" w:type="dxa"/>
          <w:bottom w:w="0" w:type="dxa"/>
          <w:right w:w="0" w:type="dxa"/>
        </w:tblCellMar>
      </w:tblPr>
      <w:tblGrid>
        <w:gridCol w:w="3215"/>
        <w:gridCol w:w="60"/>
        <w:gridCol w:w="228"/>
        <w:gridCol w:w="1276"/>
        <w:gridCol w:w="80"/>
        <w:gridCol w:w="60"/>
        <w:gridCol w:w="354"/>
        <w:gridCol w:w="955"/>
        <w:gridCol w:w="8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 Leases</w:t>
            </w:r>
          </w:p>
        </w:tc>
        <w:tc>
          <w:tcPr>
            <w:tcW w:w="8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Six months ending September 27, 2025</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2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2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8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minimum payments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230,783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8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 representing interest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As of March 29, 2025 the weighted-average remaining term of our operating and finance leases was 12.2 years and 3.9 years, respectively. As of September 28, 2024 the weighted-average remaining term of our operating and finance leases was 12.6 years and 3.6 years,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16</w:t>
      </w:r>
      <w:r>
        <w:rPr>
          <w:rFonts w:ascii="Times New Roman" w:hAnsi="Times New Roman"/>
          <w:caps w:val="false"/>
          <w:smallCaps w:val="false"/>
          <w:sz w:val="20"/>
        </w:rPr>
        <w:t xml:space="preserve">          </w:t>
      </w:r>
      <w:r>
        <w:rPr>
          <w:rFonts w:ascii="Times New Roman" w:hAnsi="Times New Roman"/>
          <w:b/>
          <w:caps w:val="false"/>
          <w:smallCaps w:val="false"/>
          <w:sz w:val="20"/>
        </w:rPr>
        <w:t>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NFI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related party expenses for distribution and shipping related costs with NFI Industries, Inc. and its affiliated entities (“NFI”). Our director, Sidney R. Brown, is CEO and an owner of NFI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payments to NFI were as follows:</w:t>
      </w:r>
    </w:p>
    <w:p>
      <w:pPr>
        <w:pStyle w:val="TextBody"/>
        <w:bidi w:val="0"/>
        <w:spacing w:before="0" w:after="0"/>
        <w:ind w:left="0" w:right="0" w:hanging="0"/>
        <w:jc w:val="left"/>
        <w:rPr>
          <w:caps w:val="false"/>
          <w:smallCaps w:val="false"/>
        </w:rPr>
      </w:pPr>
      <w:r>
        <w:rPr>
          <w:caps w:val="false"/>
          <w:smallCaps w:val="false"/>
        </w:rPr>
        <w:t> </w:t>
      </w:r>
    </w:p>
    <w:tbl>
      <w:tblPr>
        <w:tblW w:w="8221" w:type="dxa"/>
        <w:jc w:val="left"/>
        <w:tblInd w:w="0" w:type="dxa"/>
        <w:tblLayout w:type="fixed"/>
        <w:tblCellMar>
          <w:top w:w="0" w:type="dxa"/>
          <w:left w:w="0" w:type="dxa"/>
          <w:bottom w:w="0" w:type="dxa"/>
          <w:right w:w="0" w:type="dxa"/>
        </w:tblCellMar>
      </w:tblPr>
      <w:tblGrid>
        <w:gridCol w:w="4085"/>
        <w:gridCol w:w="60"/>
        <w:gridCol w:w="220"/>
        <w:gridCol w:w="669"/>
        <w:gridCol w:w="91"/>
        <w:gridCol w:w="91"/>
        <w:gridCol w:w="220"/>
        <w:gridCol w:w="669"/>
        <w:gridCol w:w="60"/>
        <w:gridCol w:w="60"/>
        <w:gridCol w:w="219"/>
        <w:gridCol w:w="670"/>
        <w:gridCol w:w="79"/>
        <w:gridCol w:w="79"/>
        <w:gridCol w:w="219"/>
        <w:gridCol w:w="670"/>
        <w:gridCol w:w="60"/>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millions)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3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millions) </w:t>
            </w:r>
          </w:p>
        </w:tc>
        <w:tc>
          <w:tcPr>
            <w:tcW w:w="60"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management services payments (1)</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6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 management services payments (2)</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payments (3)</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6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Pass through payments to third parties (4)</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6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amount distributed to NFI</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contracted with NFI for transportation management services, which involves the arrangement for the distribution of the Company's goods. This amount represents the payments for management fees associated with this service.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entered into a master service agreement with NFI for the operations and labor management of our three regional distribution centers. This amount represents the payments to NFI for services rendered under this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June 2023, the Company began leasing a regional distribution center in Terrell, Texas that was constructed by, and is owned by, a subsidiary of NFI. This amount represents the lease payments associated with the lease arrangement. At the lease commencement date, $28.7 million was recorded as an operating right-of-use asset, $0.2 million was recorded as a current operating lease liability, and $28.5 million was recorded as a non-current operating lease liability. As of March 29, 2025, $27.0 million was recorded as an operating right-of-use asset, $0.6 million was recorded as a current operating lease liability, and $27.7 million was recorded as a non-current operating lease liability. As of September 28, 2024, $27.4 million was recorded as an operating right-of-use asset, $0.6 million was recorded as a current operating lease liability, and $28.0 million was recorded as a non-current operating lease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3"/>
        <w:gridCol w:w="9912"/>
      </w:tblGrid>
      <w:tr>
        <w:trPr/>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amount represents passed through payments to third-party distribution and shipping vendors that are managed on the Company's behalf by NFI.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March 29, 2025, and September 28, 2024, related party trade payables of approximately $4.2 million and $0.6 million, respectively, were recorded as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All agreements with NFI include terms that are consistent with those that we believe would have been negotiated at an arm’s length with an independent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AMC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incur related party expenses for attitudinal and research services with AMC Global, a global marketing research company. The husband of our director, Marjorie Roshkoff, is CEO and owner of AMC Global. In the six months ended March 29, 2025, the Company did not incur any expenses with AMC Global, and in the six months ended March 30, 2024, the Company paid AMC Global $11,000 for these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Additionally, the Company pays board advisory consulting fees to the husband of our director, Marjorie Roshkoff. In both the three and six months ended March 29, 2025 and March 30, 2024, the Company paid $13,000 and $26,000 for these board advisory consulting fees,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17</w:t>
      </w:r>
      <w:r>
        <w:rPr>
          <w:rFonts w:ascii="Times New Roman" w:hAnsi="Times New Roman"/>
          <w:caps w:val="false"/>
          <w:smallCaps w:val="false"/>
          <w:sz w:val="20"/>
        </w:rPr>
        <w:t xml:space="preserve">          </w:t>
      </w:r>
      <w:r>
        <w:rPr>
          <w:rFonts w:ascii="Times New Roman" w:hAnsi="Times New Roman"/>
          <w:b/>
          <w:caps w:val="false"/>
          <w:smallCaps w:val="false"/>
          <w:sz w:val="20"/>
        </w:rPr>
        <w:t>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Certain prior year financial statements amounts have been reclassified to be consistent with the presentation for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left"/>
        <w:rPr>
          <w:rFonts w:ascii="Times New Roman" w:hAnsi="Times New Roman"/>
          <w:caps w:val="false"/>
          <w:smallCaps w:val="false"/>
          <w:sz w:val="20"/>
        </w:rPr>
      </w:pPr>
      <w:r>
        <w:rPr>
          <w:rFonts w:ascii="Times New Roman" w:hAnsi="Times New Roman"/>
          <w:b/>
          <w:caps w:val="false"/>
          <w:smallCaps w:val="false"/>
          <w:sz w:val="20"/>
        </w:rPr>
        <w:t>Note 18</w:t>
      </w:r>
      <w:r>
        <w:rPr>
          <w:rFonts w:ascii="Times New Roman" w:hAnsi="Times New Roman"/>
          <w:caps w:val="false"/>
          <w:smallCaps w:val="false"/>
          <w:sz w:val="20"/>
        </w:rPr>
        <w:t xml:space="preserve">          </w:t>
      </w:r>
      <w:r>
        <w:rPr>
          <w:rFonts w:ascii="Times New Roman" w:hAnsi="Times New Roman"/>
          <w:b/>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February 3, 2025, the Company announced that the Board of Directors authorized a share repurchase program (the “2025 Share Repurchase Program”) pursuant to which the Company could repurchase up to $50.0 million of the Company’s common stock, exclusive of any fees, commissions, and other expenses related to such repurchases. Under the 2025 Share Repurchase Program, the Company may repurchase its common stock from time to time, in amounts, at prices, and at such times as the Company deems appropriate, subject to market conditions, legal requirements, and other considerations. The Company’s repurchases may be executed using open market purchases, unsolicited or solicited privately negotiated transactions, or other transactions, and may be affected pursuant to trading plans intended to qualify under Rule 10b5-1 of the Securities Exchange Act of 1934, as amended. The 2025 Share Repurchase Program is effective for two years; however, the 2025 Share Repurchase Program does not obligate the Company to repurchase any specific number of shares and may be suspended, modified or terminated at any time without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March 2025, the Company repurchased 39,061 shares of common stock of the Company at an average price of $128.00 per share on the open market, pursuant to the share repurchase program. As of the date of the repurchase, the repurchased shares were retired and returned to the status of authorized but unissued shares of common stock.</w:t>
      </w:r>
    </w:p>
    <w:p>
      <w:pPr>
        <w:pStyle w:val="TextBody"/>
        <w:bidi w:val="0"/>
        <w:spacing w:before="0" w:after="0"/>
        <w:ind w:left="0" w:right="0" w:hanging="0"/>
        <w:jc w:val="left"/>
        <w:rPr>
          <w:caps w:val="false"/>
          <w:smallCaps w:val="false"/>
        </w:rPr>
      </w:pPr>
      <w:r>
        <w:rPr>
          <w:caps w:val="false"/>
          <w:smallCaps w:val="false"/>
        </w:rPr>
        <w:t> </w:t>
      </w:r>
    </w:p>
    <w:tbl>
      <w:tblPr>
        <w:tblW w:w="7363" w:type="dxa"/>
        <w:jc w:val="left"/>
        <w:tblInd w:w="0" w:type="dxa"/>
        <w:tblLayout w:type="fixed"/>
        <w:tblCellMar>
          <w:top w:w="0" w:type="dxa"/>
          <w:left w:w="0" w:type="dxa"/>
          <w:bottom w:w="0" w:type="dxa"/>
          <w:right w:w="0" w:type="dxa"/>
        </w:tblCellMar>
      </w:tblPr>
      <w:tblGrid>
        <w:gridCol w:w="2765"/>
        <w:gridCol w:w="60"/>
        <w:gridCol w:w="207"/>
        <w:gridCol w:w="981"/>
        <w:gridCol w:w="99"/>
        <w:gridCol w:w="99"/>
        <w:gridCol w:w="541"/>
        <w:gridCol w:w="348"/>
        <w:gridCol w:w="60"/>
        <w:gridCol w:w="60"/>
        <w:gridCol w:w="179"/>
        <w:gridCol w:w="845"/>
        <w:gridCol w:w="85"/>
        <w:gridCol w:w="85"/>
        <w:gridCol w:w="541"/>
        <w:gridCol w:w="348"/>
        <w:gridCol w:w="60"/>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repurchased (in thousands)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price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128.00</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128.00</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 (in thousands)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Company’s recent stock repurchases, there remains $45.0 million of share repurchase availability under the 2025 Share Repurchase Program as of 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Statements made in this Form 10-Q that are not historical or current facts are “forward-looking statements” made pursuant to the safe harbor provisions of Section 27A of the Securities Act of 1933, as amended (the “Securities Act”), and Section 21E of the Securities Exchange Act of 1934, as amended (the “Exchange Act”). These statements discuss goals, intentions and expectations as to future trends, plans, events, results of operations or financial condition, or state other information relating to us, based on our current beliefs as well as assumptions made by us and information currently available to us. Forward-looking statements generally will be accompanied by words such as "anticipate," "if," "may," "believe," "plan,", "goals," "estimate," "expect," "project," "continue," "forecast," "intend," "may," "could," "should," "will," and other similar expressions. Statements addressing our future operating performance and statements addressing events and developments that we expect or anticipate will occur are also considered as forward-looking statements. This includes, without limitation, our statements and expectations regarding any current or future recovery in our industry (or the industries of our customers), the success of new product innovations, and the future impact of our supply chain efficiency projects, including investments in additional production capacity and logistics and warehousing operations. Such forward-looking statements are inherently uncertain, and readers must recognize that actual results may differ materially from the expectations of management. We intend that such forward-looking statements be subject to the safe harbor provisions of the Securities Act and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wish to caution readers not to place undue reliance on any such forward-looking statements, which speak as of the date made. Any forward-looking statements represent management’s best judgment as to what may occur in the future. However, forward-looking statements are subject to risks, uncertainties, and important factors beyond our control that could cause actual results and events to differ materially from historical results of operations and events and those presently anticipated or projected. We disclaim any obligation to revise, update, add or to otherwise correct, any forward-looking statements to reflect events or circumstances after the date of such statement or to reflect the occurrence of anticipated or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Management’s Discussion and Analysis of Financial Condition and Results of Operations is intended to provide readers of our financial statements with a narrative form from the perspective of our management regarding our financial condition and results of operations, liquidity and certain other factors that may affect our future results. The following discussion should be read in conjunction with the consolidated financial statements and accompanying notes included in Part I, Item 1 of this Quarterly Report on Form 10-Q and within the Company’s Annual Report on Form 10-K filed for the fiscal year ended September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manufactures and sells snack foods and distributes frozen beverages which it markets nationally to the foodservice and retail supermarket industries. The Company’s principal snack food products are soft pretzels, frozen novelties, churros and bakery products. We believe we are the largest manufacturer of soft pretzels in the United States. Other snack food products include donuts, churros, cookies, funnel cake and handheld products. The Company’s principal frozen beverage products are the ICEE brand frozen carbonated beverage and the SLUSH PUPPIE brand frozen non-carbonated beverage. The Company’s Food Service and Frozen Beverage sales are made principally to foodservice customers including snack bar and food stand locations in leading chain, department, discount, warehouse club and convenience stores; malls and shopping centers; fast food and casual dining restaurants; stadiums and sports arenas; leisure and theme parks; movie theaters; independent retailers; and schools, colleges and other institutions. The Company’s Retail Supermarket customers are primarily supermarket chains.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Business Trends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results are impacted by macroeconomic and demographic trends and changes in consumer behavior. The U.S. economy has experienced economic volatility and uncertainty in recent years, which has had, and we expect might continue to have, an impact on consumer behavior. Consumer spending may continue to be impacted by levels of discretionary income and the impact of that on the consumer’s decisions making around their 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industry continues to face specific challenges arising from consumer and economic uncertainty due to rapid changes in global trade policies including the announced tariff increases and potential additional tariff increases. We expect that consumer trends will continue to evolve, and economic pressures on consumers, including the challenges of high inflation and the impact of increased tariffs, may have an impact on our volumes. In addition, inflation and fluctuating raw material costs may continue to impact the costs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help combat these potential headwinds, we strategically look to improve our operational efficiencies and margins, as well as expand our growth opportunities across our various channels and customers. Some recent examples of implementing these strategies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recently completed strategic supply chain transformation in which we opened three regional distribution centers which is projected to drive significant cost reductions around warehousing and distribution costs.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recent addition of six new production lines which has significantly expanded upon our capacity and allowed us to meet growth opportunities across our core products such as pretzels, churros and frozen novelties.</w:t>
            </w:r>
          </w:p>
        </w:tc>
      </w:tr>
    </w:tbl>
    <w:tbl>
      <w:tblPr>
        <w:tblW w:w="9670" w:type="dxa"/>
        <w:jc w:val="left"/>
        <w:tblInd w:w="0" w:type="dxa"/>
        <w:tblLayout w:type="fixed"/>
        <w:tblCellMar>
          <w:top w:w="0" w:type="dxa"/>
          <w:left w:w="0" w:type="dxa"/>
          <w:bottom w:w="0" w:type="dxa"/>
          <w:right w:w="0" w:type="dxa"/>
        </w:tblCellMar>
      </w:tblPr>
      <w:tblGrid>
        <w:gridCol w:w="60"/>
        <w:gridCol w:w="170"/>
        <w:gridCol w:w="9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Implementation of a new ERP system in fiscal 2022 which has helped to create efficiencies and streamline processes.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Many examples of successful cross-selling and leveraging our brands across customer channels, including our recent expansion of the breadth and depth of our Dippin’ Dots brand across the theater channel, as well as looking to penetrate that brand into the retail market.</w:t>
            </w:r>
          </w:p>
        </w:tc>
      </w:tr>
    </w:tbl>
    <w:tbl>
      <w:tblPr>
        <w:tblW w:w="8890" w:type="dxa"/>
        <w:jc w:val="left"/>
        <w:tblInd w:w="0" w:type="dxa"/>
        <w:tblLayout w:type="fixed"/>
        <w:tblCellMar>
          <w:top w:w="0" w:type="dxa"/>
          <w:left w:w="0" w:type="dxa"/>
          <w:bottom w:w="0" w:type="dxa"/>
          <w:right w:w="0" w:type="dxa"/>
        </w:tblCellMar>
      </w:tblPr>
      <w:tblGrid>
        <w:gridCol w:w="60"/>
        <w:gridCol w:w="170"/>
        <w:gridCol w:w="8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 expansion of our SuperPretzel brand across the retail market through the launch of Bavarian Sticks.</w:t>
            </w:r>
          </w:p>
        </w:tc>
      </w:tr>
    </w:tbl>
    <w:tbl>
      <w:tblPr>
        <w:tblW w:w="5125" w:type="dxa"/>
        <w:jc w:val="left"/>
        <w:tblInd w:w="0" w:type="dxa"/>
        <w:tblLayout w:type="fixed"/>
        <w:tblCellMar>
          <w:top w:w="0" w:type="dxa"/>
          <w:left w:w="0" w:type="dxa"/>
          <w:bottom w:w="0" w:type="dxa"/>
          <w:right w:w="0" w:type="dxa"/>
        </w:tblCellMar>
      </w:tblPr>
      <w:tblGrid>
        <w:gridCol w:w="60"/>
        <w:gridCol w:w="170"/>
        <w:gridCol w:w="4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fiscal year 2023 rollout of our new Hola! Churros brand.</w:t>
            </w:r>
          </w:p>
        </w:tc>
      </w:tr>
    </w:tbl>
    <w:tbl>
      <w:tblPr>
        <w:tblW w:w="8200" w:type="dxa"/>
        <w:jc w:val="left"/>
        <w:tblInd w:w="0" w:type="dxa"/>
        <w:tblLayout w:type="fixed"/>
        <w:tblCellMar>
          <w:top w:w="0" w:type="dxa"/>
          <w:left w:w="0" w:type="dxa"/>
          <w:bottom w:w="0" w:type="dxa"/>
          <w:right w:w="0" w:type="dxa"/>
        </w:tblCellMar>
      </w:tblPr>
      <w:tblGrid>
        <w:gridCol w:w="60"/>
        <w:gridCol w:w="170"/>
        <w:gridCol w:w="7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fiscal year 2022 acquisition of Dippin’ Dots, and our fiscal year 2024 acquisition of Thinsters.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 xml:space="preserve">RESULTS OF OPERATIONS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Three and six months ended 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discussion provides a review of results for the three and six months ended March 29, 2025 as compared with the three and six months ended March 30, 2024.</w:t>
      </w:r>
    </w:p>
    <w:p>
      <w:pPr>
        <w:pStyle w:val="TextBody"/>
        <w:bidi w:val="0"/>
        <w:spacing w:before="0" w:after="0"/>
        <w:ind w:left="0" w:right="0" w:hanging="0"/>
        <w:jc w:val="left"/>
        <w:rPr>
          <w:caps w:val="false"/>
          <w:smallCaps w:val="false"/>
        </w:rPr>
      </w:pPr>
      <w:r>
        <w:rPr>
          <w:caps w:val="false"/>
          <w:smallCaps w:val="false"/>
        </w:rPr>
        <w:t> </w:t>
      </w:r>
    </w:p>
    <w:tbl>
      <w:tblPr>
        <w:tblW w:w="9121" w:type="dxa"/>
        <w:jc w:val="left"/>
        <w:tblInd w:w="0" w:type="dxa"/>
        <w:tblLayout w:type="fixed"/>
        <w:tblCellMar>
          <w:top w:w="0" w:type="dxa"/>
          <w:left w:w="0" w:type="dxa"/>
          <w:bottom w:w="28" w:type="dxa"/>
          <w:right w:w="0" w:type="dxa"/>
        </w:tblCellMar>
      </w:tblPr>
      <w:tblGrid>
        <w:gridCol w:w="2585"/>
        <w:gridCol w:w="60"/>
        <w:gridCol w:w="135"/>
        <w:gridCol w:w="754"/>
        <w:gridCol w:w="80"/>
        <w:gridCol w:w="60"/>
        <w:gridCol w:w="135"/>
        <w:gridCol w:w="754"/>
        <w:gridCol w:w="80"/>
        <w:gridCol w:w="60"/>
        <w:gridCol w:w="99"/>
        <w:gridCol w:w="806"/>
        <w:gridCol w:w="245"/>
        <w:gridCol w:w="60"/>
        <w:gridCol w:w="135"/>
        <w:gridCol w:w="754"/>
        <w:gridCol w:w="80"/>
        <w:gridCol w:w="60"/>
        <w:gridCol w:w="135"/>
        <w:gridCol w:w="754"/>
        <w:gridCol w:w="80"/>
        <w:gridCol w:w="60"/>
        <w:gridCol w:w="89"/>
        <w:gridCol w:w="816"/>
        <w:gridCol w:w="245"/>
      </w:tblGrid>
      <w:tr>
        <w:trPr/>
        <w:tc>
          <w:tcPr>
            <w:tcW w:w="258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Results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963"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963"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245" w:type="dxa"/>
            <w:tcBorders/>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806" w:type="dxa"/>
            <w:tcBorders/>
            <w:tcMar>
              <w:bottom w:w="0" w:type="dxa"/>
            </w:tcMar>
            <w:vAlign w:val="center"/>
          </w:tcPr>
          <w:p>
            <w:pPr>
              <w:pStyle w:val="TableContents"/>
              <w:bidi w:val="0"/>
              <w:spacing w:before="0" w:after="283"/>
              <w:jc w:val="center"/>
              <w:rPr/>
            </w:pPr>
            <w:r>
              <w:rPr/>
              <w:t> </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16" w:type="dxa"/>
            <w:tcBorders/>
            <w:tcMar>
              <w:bottom w:w="0" w:type="dxa"/>
            </w:tcMar>
            <w:vAlign w:val="center"/>
          </w:tcPr>
          <w:p>
            <w:pPr>
              <w:pStyle w:val="TableContents"/>
              <w:bidi w:val="0"/>
              <w:spacing w:before="0" w:after="283"/>
              <w:jc w:val="center"/>
              <w:rPr/>
            </w:pPr>
            <w:r>
              <w:rPr/>
              <w:t> </w:t>
            </w:r>
          </w:p>
        </w:tc>
        <w:tc>
          <w:tcPr>
            <w:tcW w:w="245" w:type="dxa"/>
            <w:tcBorders/>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918" w:type="dxa"/>
            <w:gridSpan w:val="6"/>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806" w:type="dxa"/>
            <w:tcBorders/>
            <w:tcMar>
              <w:bottom w:w="0" w:type="dxa"/>
            </w:tcMar>
            <w:vAlign w:val="center"/>
          </w:tcPr>
          <w:p>
            <w:pPr>
              <w:pStyle w:val="TableContents"/>
              <w:bidi w:val="0"/>
              <w:spacing w:before="0" w:after="283"/>
              <w:jc w:val="center"/>
              <w:rPr/>
            </w:pPr>
            <w:r>
              <w:rPr/>
              <w:t> </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918" w:type="dxa"/>
            <w:gridSpan w:val="6"/>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16" w:type="dxa"/>
            <w:tcBorders/>
            <w:tcMar>
              <w:bottom w:w="0" w:type="dxa"/>
            </w:tcMar>
            <w:vAlign w:val="center"/>
          </w:tcPr>
          <w:p>
            <w:pPr>
              <w:pStyle w:val="TableContents"/>
              <w:bidi w:val="0"/>
              <w:spacing w:before="0" w:after="283"/>
              <w:jc w:val="center"/>
              <w:rPr/>
            </w:pPr>
            <w:r>
              <w:rPr/>
              <w:t> </w:t>
            </w:r>
          </w:p>
        </w:tc>
        <w:tc>
          <w:tcPr>
            <w:tcW w:w="245" w:type="dxa"/>
            <w:tcBorders/>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356,099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359,734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718,697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708,042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260,396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251,491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529,093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505,214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95,703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108,243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8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189,604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202,828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06"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28,507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27,650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57,176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55,122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41,833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8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81,443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84,552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19,754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18,521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expense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8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411.1</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89,680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90,339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175,241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27,587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06"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8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28,080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3379"/>
        <w:gridCol w:w="60"/>
        <w:gridCol w:w="117"/>
        <w:gridCol w:w="752"/>
        <w:gridCol w:w="185"/>
        <w:gridCol w:w="60"/>
        <w:gridCol w:w="117"/>
        <w:gridCol w:w="752"/>
        <w:gridCol w:w="185"/>
        <w:gridCol w:w="60"/>
        <w:gridCol w:w="134"/>
        <w:gridCol w:w="908"/>
        <w:gridCol w:w="80"/>
        <w:gridCol w:w="60"/>
        <w:gridCol w:w="117"/>
        <w:gridCol w:w="752"/>
        <w:gridCol w:w="185"/>
        <w:gridCol w:w="60"/>
        <w:gridCol w:w="117"/>
        <w:gridCol w:w="752"/>
        <w:gridCol w:w="185"/>
        <w:gridCol w:w="60"/>
        <w:gridCol w:w="134"/>
        <w:gridCol w:w="908"/>
        <w:gridCol w:w="86"/>
      </w:tblGrid>
      <w:tr>
        <w:trPr/>
        <w:tc>
          <w:tcPr>
            <w:tcW w:w="3379"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Comparisons as a Percentage of Net Sales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3270"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3270"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6" w:type="dxa"/>
            <w:tcBorders/>
            <w:tcMar>
              <w:bottom w:w="0" w:type="dxa"/>
            </w:tcMar>
            <w:vAlign w:val="center"/>
          </w:tcPr>
          <w:p>
            <w:pPr>
              <w:pStyle w:val="TableContents"/>
              <w:bidi w:val="0"/>
              <w:spacing w:before="0" w:after="283"/>
              <w:jc w:val="left"/>
              <w:rPr/>
            </w:pPr>
            <w:r>
              <w:rPr/>
              <w:t> </w:t>
            </w:r>
          </w:p>
        </w:tc>
      </w:tr>
      <w:tr>
        <w:trPr/>
        <w:tc>
          <w:tcPr>
            <w:tcW w:w="33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6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6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 w:type="dxa"/>
            <w:tcBorders/>
            <w:tcMar>
              <w:bottom w:w="0" w:type="dxa"/>
            </w:tcMar>
            <w:vAlign w:val="center"/>
          </w:tcPr>
          <w:p>
            <w:pPr>
              <w:pStyle w:val="TableContents"/>
              <w:bidi w:val="0"/>
              <w:spacing w:before="0" w:after="283"/>
              <w:jc w:val="left"/>
              <w:rPr/>
            </w:pPr>
            <w:r>
              <w:rPr/>
              <w:t> </w:t>
            </w:r>
          </w:p>
        </w:tc>
        <w:tc>
          <w:tcPr>
            <w:tcW w:w="908" w:type="dxa"/>
            <w:tcBorders/>
            <w:tcMar>
              <w:bottom w:w="0" w:type="dxa"/>
            </w:tcMar>
            <w:vAlign w:val="center"/>
          </w:tcPr>
          <w:p>
            <w:pPr>
              <w:pStyle w:val="TableContents"/>
              <w:bidi w:val="0"/>
              <w:spacing w:before="0" w:after="283"/>
              <w:jc w:val="center"/>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6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6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 w:type="dxa"/>
            <w:tcBorders/>
            <w:tcMar>
              <w:bottom w:w="0" w:type="dxa"/>
            </w:tcMar>
            <w:vAlign w:val="center"/>
          </w:tcPr>
          <w:p>
            <w:pPr>
              <w:pStyle w:val="TableContents"/>
              <w:bidi w:val="0"/>
              <w:spacing w:before="0" w:after="283"/>
              <w:jc w:val="left"/>
              <w:rPr/>
            </w:pPr>
            <w:r>
              <w:rPr/>
              <w:t> </w:t>
            </w:r>
          </w:p>
        </w:tc>
        <w:tc>
          <w:tcPr>
            <w:tcW w:w="908" w:type="dxa"/>
            <w:tcBorders/>
            <w:tcMar>
              <w:bottom w:w="0" w:type="dxa"/>
            </w:tcMar>
            <w:vAlign w:val="center"/>
          </w:tcPr>
          <w:p>
            <w:pPr>
              <w:pStyle w:val="TableContents"/>
              <w:bidi w:val="0"/>
              <w:spacing w:before="0" w:after="283"/>
              <w:jc w:val="center"/>
              <w:rPr/>
            </w:pPr>
            <w:r>
              <w:rPr/>
              <w:t> </w:t>
            </w:r>
          </w:p>
        </w:tc>
        <w:tc>
          <w:tcPr>
            <w:tcW w:w="86" w:type="dxa"/>
            <w:tcBorders/>
            <w:tcMar>
              <w:bottom w:w="0" w:type="dxa"/>
            </w:tcMar>
            <w:vAlign w:val="center"/>
          </w:tcPr>
          <w:p>
            <w:pPr>
              <w:pStyle w:val="TableContents"/>
              <w:bidi w:val="0"/>
              <w:spacing w:before="0" w:after="283"/>
              <w:jc w:val="left"/>
              <w:rPr/>
            </w:pPr>
            <w:r>
              <w:rPr/>
              <w:t> </w:t>
            </w:r>
          </w:p>
        </w:tc>
      </w:tr>
      <w:tr>
        <w:trPr/>
        <w:tc>
          <w:tcPr>
            <w:tcW w:w="33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6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6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42"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Basis Pt Chg</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6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6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42"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Basis Pt Chg</w:t>
            </w:r>
          </w:p>
        </w:tc>
        <w:tc>
          <w:tcPr>
            <w:tcW w:w="86" w:type="dxa"/>
            <w:tcBorders/>
            <w:tcMar>
              <w:bottom w:w="0" w:type="dxa"/>
            </w:tcMar>
            <w:vAlign w:val="center"/>
          </w:tcPr>
          <w:p>
            <w:pPr>
              <w:pStyle w:val="TableContents"/>
              <w:bidi w:val="0"/>
              <w:spacing w:before="0" w:after="283"/>
              <w:jc w:val="left"/>
              <w:rPr/>
            </w:pPr>
            <w:r>
              <w:rPr/>
              <w:t> </w:t>
            </w:r>
          </w:p>
        </w:tc>
      </w:tr>
      <w:tr>
        <w:trPr/>
        <w:tc>
          <w:tcPr>
            <w:tcW w:w="337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ind w:left="0" w:right="0" w:hanging="0"/>
              <w:jc w:val="left"/>
              <w:rPr/>
            </w:pPr>
            <w:r>
              <w:rPr/>
              <w:t> </w:t>
            </w:r>
          </w:p>
        </w:tc>
        <w:tc>
          <w:tcPr>
            <w:tcW w:w="9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ind w:left="0" w:right="0" w:hanging="0"/>
              <w:jc w:val="left"/>
              <w:rPr/>
            </w:pPr>
            <w:r>
              <w:rPr/>
              <w:t> </w:t>
            </w:r>
          </w:p>
        </w:tc>
        <w:tc>
          <w:tcPr>
            <w:tcW w:w="9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7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75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75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ind w:left="0" w:right="0" w:hanging="0"/>
              <w:jc w:val="left"/>
              <w:rPr/>
            </w:pPr>
            <w:r>
              <w:rPr/>
              <w:t> </w:t>
            </w:r>
          </w:p>
        </w:tc>
        <w:tc>
          <w:tcPr>
            <w:tcW w:w="9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75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75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ind w:left="0" w:right="0" w:hanging="0"/>
              <w:jc w:val="left"/>
              <w:rPr/>
            </w:pPr>
            <w:r>
              <w:rPr/>
              <w:t> </w:t>
            </w:r>
          </w:p>
        </w:tc>
        <w:tc>
          <w:tcPr>
            <w:tcW w:w="9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6" w:type="dxa"/>
            <w:tcBorders/>
            <w:shd w:fill="FFFFFF" w:val="clear"/>
            <w:tcMar>
              <w:bottom w:w="0" w:type="dxa"/>
            </w:tcMar>
            <w:vAlign w:val="center"/>
          </w:tcPr>
          <w:p>
            <w:pPr>
              <w:pStyle w:val="TableContents"/>
              <w:bidi w:val="0"/>
              <w:spacing w:before="0" w:after="283"/>
              <w:jc w:val="left"/>
              <w:rPr/>
            </w:pPr>
            <w:r>
              <w:rPr/>
              <w:t> </w:t>
            </w:r>
          </w:p>
        </w:tc>
      </w:tr>
      <w:tr>
        <w:trPr/>
        <w:tc>
          <w:tcPr>
            <w:tcW w:w="337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ind w:left="0" w:right="0" w:hanging="0"/>
              <w:jc w:val="left"/>
              <w:rPr/>
            </w:pPr>
            <w:r>
              <w:rPr/>
              <w:t> </w:t>
            </w:r>
          </w:p>
        </w:tc>
        <w:tc>
          <w:tcPr>
            <w:tcW w:w="9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ind w:left="0" w:right="0" w:hanging="0"/>
              <w:jc w:val="left"/>
              <w:rPr/>
            </w:pPr>
            <w:r>
              <w:rPr/>
              <w:t> </w:t>
            </w:r>
          </w:p>
        </w:tc>
        <w:tc>
          <w:tcPr>
            <w:tcW w:w="9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7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75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75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ind w:left="0" w:right="0" w:hanging="0"/>
              <w:jc w:val="left"/>
              <w:rPr/>
            </w:pPr>
            <w:r>
              <w:rPr/>
              <w:t> </w:t>
            </w:r>
          </w:p>
        </w:tc>
        <w:tc>
          <w:tcPr>
            <w:tcW w:w="9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75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75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ind w:left="0" w:right="0" w:hanging="0"/>
              <w:jc w:val="left"/>
              <w:rPr/>
            </w:pPr>
            <w:r>
              <w:rPr/>
              <w:t> </w:t>
            </w:r>
          </w:p>
        </w:tc>
        <w:tc>
          <w:tcPr>
            <w:tcW w:w="9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6" w:type="dxa"/>
            <w:tcBorders/>
            <w:shd w:fill="FFFFFF" w:val="clear"/>
            <w:tcMar>
              <w:bottom w:w="0" w:type="dxa"/>
            </w:tcMar>
            <w:vAlign w:val="center"/>
          </w:tcPr>
          <w:p>
            <w:pPr>
              <w:pStyle w:val="TableContents"/>
              <w:bidi w:val="0"/>
              <w:spacing w:before="0" w:after="283"/>
              <w:jc w:val="left"/>
              <w:rPr/>
            </w:pPr>
            <w:r>
              <w:rPr/>
              <w:t> </w:t>
            </w:r>
          </w:p>
        </w:tc>
      </w:tr>
      <w:tr>
        <w:trPr/>
        <w:tc>
          <w:tcPr>
            <w:tcW w:w="337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ind w:left="0" w:right="0" w:hanging="0"/>
              <w:jc w:val="left"/>
              <w:rPr/>
            </w:pPr>
            <w:r>
              <w:rPr/>
              <w:t> </w:t>
            </w:r>
          </w:p>
        </w:tc>
        <w:tc>
          <w:tcPr>
            <w:tcW w:w="9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ind w:left="0" w:right="0" w:hanging="0"/>
              <w:jc w:val="left"/>
              <w:rPr/>
            </w:pPr>
            <w:r>
              <w:rPr/>
              <w:t> </w:t>
            </w:r>
          </w:p>
        </w:tc>
        <w:tc>
          <w:tcPr>
            <w:tcW w:w="9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7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75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75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ind w:left="0" w:right="0" w:hanging="0"/>
              <w:jc w:val="left"/>
              <w:rPr/>
            </w:pPr>
            <w:r>
              <w:rPr/>
              <w:t> </w:t>
            </w:r>
          </w:p>
        </w:tc>
        <w:tc>
          <w:tcPr>
            <w:tcW w:w="9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75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75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ind w:left="0" w:right="0" w:hanging="0"/>
              <w:jc w:val="left"/>
              <w:rPr/>
            </w:pPr>
            <w:r>
              <w:rPr/>
              <w:t> </w:t>
            </w:r>
          </w:p>
        </w:tc>
        <w:tc>
          <w:tcPr>
            <w:tcW w:w="9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7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ind w:left="0" w:right="0" w:hanging="0"/>
              <w:jc w:val="left"/>
              <w:rPr/>
            </w:pPr>
            <w:r>
              <w:rPr/>
              <w:t> </w:t>
            </w:r>
          </w:p>
        </w:tc>
        <w:tc>
          <w:tcPr>
            <w:tcW w:w="9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ind w:left="0" w:right="0" w:hanging="0"/>
              <w:jc w:val="left"/>
              <w:rPr/>
            </w:pPr>
            <w:r>
              <w:rPr/>
              <w:t> </w:t>
            </w:r>
          </w:p>
        </w:tc>
        <w:tc>
          <w:tcPr>
            <w:tcW w:w="9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decreased by $3.6 million, or 1.0%, to $356.1 million for the three months ended March 29, 2025. Net sales increased by $10.7 million, or 1.5%, to $718.7 million for the six months ended March 29, 2025. Organic sales growth, across the six months ended March 29, 2025, was driven by the growth across all three of the Company’s business segments that was seen in the first fiscal quarter, slightly offset by small decreases in sales in the fiscal second quarter in our foodservice and frozen beverages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 decreased by $12.5 million, or 11.6%, to $95.7 million for the three months ended March 29, 2025. As a percentage of sales, gross profit decreased from 30.1% to 26.9%. This decrease reflected negative margin impacts from comparatively rising raw material costs and other inflationary pressures that outweighed recent pricing actions. The cost of key ingredients, most predominantly cocoa, have experienced significant inflationary increases. Additionally, the loss of some limited time offer churro volumes from prior year negatively impacted current quarter gross profit when compared to prior year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 decreased by $13.2 million, or 6.5%, to $189.6 million for the six months ended March 29, 2025. As a percentage of sales, gross profit decreased from 28.6% to 26.4%. This decrease reflected negative margin impacts from comparatively rising raw material costs and other inflationary pressures that outweighed recent pricing actions. Additionally, mix changes within our bakery business in the first fiscal quarter, as well as the loss of some limited time offer churro volumes from prior year, all negatively impacted current quarter gross profit when compared to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 decreased $0.7 million, or 0.7%, to $89.7 million for the three months ended March 29, 2025. As a percentage of sales, operating expenses increased from 25.1% to 25.2%. As a percentage of sales, distribution expenses decreased from 12.3% to 11.7%, with the decrease driven by the benefits of our strategic initiatives to improve logistics management and increase efficiency across our distribution network and supply chain, combined with the impact of $2.3 million of non-recurring expenses in the prior year for start-up costs related to our regional distribution center supply chain transformation. As a percentage of sales, marketing expenses increased slightly from 7.7% to 8.0%, with the increase primarily attributable to higher tradename amortization expenses associated with a legacy churro brand that is being phased out for the Hola! Churro brand.  As a percentage of sales, general and administrative expenses increased slightly from 5.1% to 5.5%, with the increase attributable to higher compensation costs as well as higher non-recurring legal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 increased $2.1 million, or 1.2%, to $177.3 million for the six months ended March 29, 2025. As a percentage of sales, operating expenses remained relatively flat, slightly decreasing from 24.8% to 24.7%. As a percentage of sales, distribution expenses decreased from 11.9% to 11.3%, with the decrease driven by the benefits of our strategic initiatives to improve logistics management and increase efficiency across our distribution network and supply chain, combined with the impact of $2.3 million of non-recurring expenses in the prior year for start-up costs related to our regional distribution center supply chain transformation. As a percentage of sales, marketing expenses increased slightly from 7.8% to 8.0%, with the increase primarily attributable to higher tradename amortization expenses associated with a legacy churro brand that is being phased out for the Hola! Churro brand and general and administrative expenses increased slightly from 5.2% to 5.4%, with the increase attributable to higher compensation costs as well as higher non-recurring legal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Other Income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income remained flat at $0.7 million for the three months ended March 29, 2025, and increased by $0.2 million to $1.7 million for the six months ended 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decreased by $0.3 million to $0.1 million and by $0.7 million to $0.3 million for the three months and six months, ended March 29, 2025, respectively, due to the decrease in the Company’s average outstanding borrowings on the Amended Credit Agreement for the three- and six- month periods ended March 29, 2025, as compared to the prior year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decreased by $3.0 million, or 62.7%, to $1.8 million for the three months ended March 29, 2025. The effective tax rate was 27.2% as compared with 26.6%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decreased by $3.7 million, or 50.1%, to $3.7 million for the six months ended March 29, 2025. The effective tax rate was 27.2% as compared with 26.6%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Net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 decreased by $8.5 million, or 63.8%, for the three months ended March 29, 2025, due to the aforementioned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 decreased by $10.6 million, or 51.6%, for the six months ended March 29, 2025, due to the aforementioned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many factors which can impact our net earnings from year to year and in the long run, among which are the supply and cost of raw materials and labor, insurance costs, factors impacting sales as noted above, the continuing consolidation of our customers, our ability to manage our manufacturing, marketing and distribution activities, our ability to make and integrate acquisitions and changes in tax laws and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Business Segment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operate in three segments: Food Service, Retail Supermarket, and Frozen Beverages. The following table is a summary of sales and operating income, which is how we measure segment profit.</w:t>
      </w:r>
    </w:p>
    <w:p>
      <w:pPr>
        <w:pStyle w:val="TextBody"/>
        <w:bidi w:val="0"/>
        <w:spacing w:before="0" w:after="0"/>
        <w:ind w:left="0" w:right="0" w:hanging="0"/>
        <w:jc w:val="left"/>
        <w:rPr>
          <w:caps w:val="false"/>
          <w:smallCaps w:val="false"/>
        </w:rPr>
      </w:pPr>
      <w:r>
        <w:rPr>
          <w:caps w:val="false"/>
          <w:smallCaps w:val="false"/>
        </w:rPr>
        <w:t> </w:t>
      </w:r>
    </w:p>
    <w:tbl>
      <w:tblPr>
        <w:tblW w:w="7976" w:type="dxa"/>
        <w:jc w:val="left"/>
        <w:tblInd w:w="0" w:type="dxa"/>
        <w:tblLayout w:type="fixed"/>
        <w:tblCellMar>
          <w:top w:w="0" w:type="dxa"/>
          <w:left w:w="0" w:type="dxa"/>
          <w:bottom w:w="0" w:type="dxa"/>
          <w:right w:w="0" w:type="dxa"/>
        </w:tblCellMar>
      </w:tblPr>
      <w:tblGrid>
        <w:gridCol w:w="1580"/>
        <w:gridCol w:w="60"/>
        <w:gridCol w:w="135"/>
        <w:gridCol w:w="754"/>
        <w:gridCol w:w="60"/>
        <w:gridCol w:w="60"/>
        <w:gridCol w:w="135"/>
        <w:gridCol w:w="754"/>
        <w:gridCol w:w="60"/>
        <w:gridCol w:w="60"/>
        <w:gridCol w:w="137"/>
        <w:gridCol w:w="768"/>
        <w:gridCol w:w="245"/>
        <w:gridCol w:w="60"/>
        <w:gridCol w:w="135"/>
        <w:gridCol w:w="754"/>
        <w:gridCol w:w="60"/>
        <w:gridCol w:w="60"/>
        <w:gridCol w:w="135"/>
        <w:gridCol w:w="754"/>
        <w:gridCol w:w="60"/>
        <w:gridCol w:w="60"/>
        <w:gridCol w:w="162"/>
        <w:gridCol w:w="743"/>
        <w:gridCol w:w="185"/>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18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8381" w:type="dxa"/>
        <w:jc w:val="left"/>
        <w:tblInd w:w="0" w:type="dxa"/>
        <w:tblLayout w:type="fixed"/>
        <w:tblCellMar>
          <w:top w:w="0" w:type="dxa"/>
          <w:left w:w="0" w:type="dxa"/>
          <w:bottom w:w="0" w:type="dxa"/>
          <w:right w:w="0" w:type="dxa"/>
        </w:tblCellMar>
      </w:tblPr>
      <w:tblGrid>
        <w:gridCol w:w="1925"/>
        <w:gridCol w:w="60"/>
        <w:gridCol w:w="182"/>
        <w:gridCol w:w="707"/>
        <w:gridCol w:w="60"/>
        <w:gridCol w:w="60"/>
        <w:gridCol w:w="155"/>
        <w:gridCol w:w="734"/>
        <w:gridCol w:w="60"/>
        <w:gridCol w:w="60"/>
        <w:gridCol w:w="108"/>
        <w:gridCol w:w="797"/>
        <w:gridCol w:w="245"/>
        <w:gridCol w:w="60"/>
        <w:gridCol w:w="155"/>
        <w:gridCol w:w="734"/>
        <w:gridCol w:w="60"/>
        <w:gridCol w:w="60"/>
        <w:gridCol w:w="155"/>
        <w:gridCol w:w="734"/>
        <w:gridCol w:w="60"/>
        <w:gridCol w:w="60"/>
        <w:gridCol w:w="108"/>
        <w:gridCol w:w="797"/>
        <w:gridCol w:w="245"/>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24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Food Service Segment Results</w:t>
      </w:r>
    </w:p>
    <w:p>
      <w:pPr>
        <w:pStyle w:val="TextBody"/>
        <w:bidi w:val="0"/>
        <w:spacing w:before="0" w:after="0"/>
        <w:ind w:left="0" w:right="0" w:hanging="0"/>
        <w:jc w:val="left"/>
        <w:rPr>
          <w:caps w:val="false"/>
          <w:smallCaps w:val="false"/>
        </w:rPr>
      </w:pPr>
      <w:r>
        <w:rPr>
          <w:caps w:val="false"/>
          <w:smallCaps w:val="false"/>
        </w:rPr>
        <w:t> </w:t>
      </w:r>
    </w:p>
    <w:tbl>
      <w:tblPr>
        <w:tblW w:w="9746" w:type="dxa"/>
        <w:jc w:val="left"/>
        <w:tblInd w:w="0" w:type="dxa"/>
        <w:tblLayout w:type="fixed"/>
        <w:tblCellMar>
          <w:top w:w="0" w:type="dxa"/>
          <w:left w:w="0" w:type="dxa"/>
          <w:bottom w:w="0" w:type="dxa"/>
          <w:right w:w="0" w:type="dxa"/>
        </w:tblCellMar>
      </w:tblPr>
      <w:tblGrid>
        <w:gridCol w:w="3290"/>
        <w:gridCol w:w="60"/>
        <w:gridCol w:w="135"/>
        <w:gridCol w:w="754"/>
        <w:gridCol w:w="60"/>
        <w:gridCol w:w="60"/>
        <w:gridCol w:w="135"/>
        <w:gridCol w:w="754"/>
        <w:gridCol w:w="60"/>
        <w:gridCol w:w="60"/>
        <w:gridCol w:w="108"/>
        <w:gridCol w:w="797"/>
        <w:gridCol w:w="245"/>
        <w:gridCol w:w="60"/>
        <w:gridCol w:w="135"/>
        <w:gridCol w:w="754"/>
        <w:gridCol w:w="60"/>
        <w:gridCol w:w="60"/>
        <w:gridCol w:w="135"/>
        <w:gridCol w:w="754"/>
        <w:gridCol w:w="60"/>
        <w:gridCol w:w="60"/>
        <w:gridCol w:w="108"/>
        <w:gridCol w:w="797"/>
        <w:gridCol w:w="24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24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 sales to external customers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pretzels</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novelties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Churros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Handhelds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Bakery</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to food service customers decreased $3.9 million, or 1.7%, to $226.1 million for the three months ended March 29, 2025. Soft pretzels sales to food service decreased 7.9% to $50.0 million, with the decrease largely due to soft consumer trends seen within the product category. Frozen novelties sales increased 4.1% to $28.8 million, led by an approximate 6% increase in Dippin’ Dots sales. Churro sales decreased 18.7% to $25.1 million with the decrease largely driven by the lapping of the benefit of limited time offer churro volumes with a major QSR customer in the prior year period which did not recur in the current quarter, somewhat offset by new business growth in the current quarter with fast food chains. Sales of bakery products increased by 2.3% to $94.0 million with the growth primarily attributable to pricing increases related to the contractual pricing true-up of costing on certain raw material ingredients, somewhat offset by volume losses throughout the portfolio. Sales of handhelds increased by 14.7% to $22.4 million, with the increase attributable to a combination of strong volume increases across our core food service handhelds as well as pricing increases related to the contractual pricing true-up of costing on certain raw material ingredients.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new products in the first twelve months since their introduction were approximately $2.8 million for the three months ended March 29, 2025, driven primarily by the addition of churros to the menu of a major fast food customer. Sales in the quarter benefited modestly from the impact of the price increases, with those price increases primarily related to the contractual pricing true-up of costing on certain raw material ingredients, as well as some targeted, non-contractual price increases taken in an attempt to offset the rising costs on certain raw material ingredients. The revenue increase attributable to price increases was more than offset by declining volumes, primarily within our soft pretzel, churros, and bakery portfolios.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Food Service segment decreased $6.7 million in the quarter to $1.2 million, with the decrease primarily driven by the impact of lost pretzel volumes, declining gross profit margins in our bakery portfolio primarily related to rising cocoa costs outpacing our corresponding pricing increases, and the favorable impact of the limited time offer churro promotion with a major QSR customer in our prior year quarter, that did not recur in the current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to food service customers increased $6.3 million, or 1.4%, to $464.9 million for the six months ended March 29, 2025. Soft pretzels sales to food service customers decreased 1.8% to $102.6 million with the decrease largely due to soft consumer trends seen within the product category in the fiscal second quarter. Frozen novelties sales increased 6.6% to $52.0 million with the increase driven by an approximate 7% increase in Dippin’ Dots sales. Churro sales decreased 14.2% to $50.5 million with the decrease largely driven by the lapping of the benefit of limited time offer churro volumes with a major QSR customer in the prior year period which did not recur in the current year period, somewhat offset by new business growth. Sales of bakery increased 4.6% to $202.8 million, with the increase largely attributable to contractual pricing true-ups on costing of certain raw material ingredients offset somewhat by fiscal first quarter volume declines in our pie portfolio related to the loss of some seasonal business with a declining margin profile that we bid on, but did not retain. Sales of handhelds increased 10.9% to $46.1 million with the increase attributable to a combination of strong volume increases across our core food service handhelds as well as pricing increases related to the contractual pricing true-up of costing on certain raw material ingredients.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new products in the first twelve months since their introduction were approximately $3.5 million for the six months ended March 29, 2025, driven primarily by the addition of churros to the menu of a major fast food customer. Sales in the six-month period benefited modestly from the impact of the price increases, with those price increases primarily related to the contractual pricing true-up of costing on certain raw material ingredients, as well as some targeted, non-contractual price increases taken in the second fiscal quarter in an attempt to offset the rising costs on certain raw material ingredients. The revenue increase attributable to price increases was somewhat offset by declining volumes, most noticeably in our churro portfolio due to the lapping of the benefit of limited time offer churro volumes with a major QSR customer in the prior year period which did not recur in the current year period, as well as in our bakery portfolio, due to the volume declines in our pie business in the first fiscal quarter related to loss of some seasonal business with a declining profit margin profile that we bid on, but did not retain.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Food Service segment decreased $11.0 million in the six months ended March 29, 2025, to $2.9 million, which reflected gross margin pressures due to the rising raw material costs and other inflationary pressures, outweighing the benefits from price increases, as well as an unfavorable product mix. The unfavorable product mix reflected the fiscal first quarter loss of some seasonal business within bakery with a declining margin profile that we bid on, but did not retain, as well as lower churro volumes as we lapped the benefit from a limited time offer with a quick serve restaurant in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Retail Supermarket Segment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5"/>
        <w:gridCol w:w="60"/>
        <w:gridCol w:w="154"/>
        <w:gridCol w:w="729"/>
        <w:gridCol w:w="80"/>
        <w:gridCol w:w="60"/>
        <w:gridCol w:w="154"/>
        <w:gridCol w:w="729"/>
        <w:gridCol w:w="80"/>
        <w:gridCol w:w="60"/>
        <w:gridCol w:w="108"/>
        <w:gridCol w:w="797"/>
        <w:gridCol w:w="243"/>
        <w:gridCol w:w="60"/>
        <w:gridCol w:w="154"/>
        <w:gridCol w:w="729"/>
        <w:gridCol w:w="80"/>
        <w:gridCol w:w="60"/>
        <w:gridCol w:w="154"/>
        <w:gridCol w:w="729"/>
        <w:gridCol w:w="80"/>
        <w:gridCol w:w="60"/>
        <w:gridCol w:w="89"/>
        <w:gridCol w:w="816"/>
        <w:gridCol w:w="24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5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5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24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 sales to external customers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pretzels</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novelties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Biscuits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Handhelds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Coupon redemption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Retail Supermarket</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products to retail customers increased $1.0 million, or 1.8%, to $53.8 million for the three months ended March 29, 2025. Soft pretzel sales decreased 2.7% to $16.0 million with the decrease largely due to soft consumer trends seen within the product category in the fiscal second quarter. Frozen novelties sales increased 14.7% to $27.1 million, with the increase largely attributable to growth within our Dogsters and Luigi’s brands. Biscuit sales decreased 5.1% to $5.9 million, and Handheld sales decreased 28.4% to $5.1 million with the decrease in Handheld sales primarily attributable to the impact of the fire at our Holly Ridge location, and delays that were experienced in the production of our retail handhelds during the quarter. Sales of new products in retail supermarkets were approximately $1.5 million in the quarter, driven primarily by the launch of Dippin’ Dots sundaes. Sales in the quarter benefited minimally from the impact of the prior fiscal year’s price increases, along with slight increases in volume.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Retail Supermarkets segment decreased $2.3 million in the quarter to $2.8 million, primarily driven by gross margin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products to retail customers increased $1.9 million, or 2.0%, to $98.6 million for the six months ended March 29, 2025. Soft pretzel sales decreased 5.2% to $33.1 million with the decrease largely due to soft consumer trends seen within the product category. Frozen novelties sales increased 18.4% to $43.3 million, with the increase largely attributable to growth within our Dogsters and Luigi’s brands. Biscuit sales decreased 2.9% to $12.9 million, and Handheld sales decreased 19.0% to $10.3 million with the decrease in Handheld sales primarily attributable to the impact of the fire at our Holly Ridge location, and delays that were experienced in the production of our retail handhelds during the period. Sales of new products in retail supermarkets were approximately $1.5 million in the six months ended March 29, 2025, driven primarily by the launch of Dippin’ Dots sundaes. Sales in the six-month period benefited minimally from the impact of the prior fiscal year’s price increases, along with slight increases in volume.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Retail Supermarkets segment decreased $2.4 million in the six months ended March 29, 2025 to $3.2 million, primarily driven by gross margin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Frozen Beverages Segment Results</w:t>
      </w:r>
    </w:p>
    <w:p>
      <w:pPr>
        <w:pStyle w:val="TextBody"/>
        <w:bidi w:val="0"/>
        <w:spacing w:before="0" w:after="0"/>
        <w:ind w:left="0" w:right="0" w:hanging="0"/>
        <w:jc w:val="left"/>
        <w:rPr>
          <w:caps w:val="false"/>
          <w:smallCaps w:val="false"/>
        </w:rPr>
      </w:pPr>
      <w:r>
        <w:rPr>
          <w:caps w:val="false"/>
          <w:smallCaps w:val="false"/>
        </w:rPr>
        <w:t> </w:t>
      </w:r>
    </w:p>
    <w:tbl>
      <w:tblPr>
        <w:tblW w:w="10121" w:type="dxa"/>
        <w:jc w:val="left"/>
        <w:tblInd w:w="0" w:type="dxa"/>
        <w:tblLayout w:type="fixed"/>
        <w:tblCellMar>
          <w:top w:w="0" w:type="dxa"/>
          <w:left w:w="0" w:type="dxa"/>
          <w:bottom w:w="0" w:type="dxa"/>
          <w:right w:w="0" w:type="dxa"/>
        </w:tblCellMar>
      </w:tblPr>
      <w:tblGrid>
        <w:gridCol w:w="3665"/>
        <w:gridCol w:w="60"/>
        <w:gridCol w:w="155"/>
        <w:gridCol w:w="734"/>
        <w:gridCol w:w="60"/>
        <w:gridCol w:w="60"/>
        <w:gridCol w:w="155"/>
        <w:gridCol w:w="734"/>
        <w:gridCol w:w="60"/>
        <w:gridCol w:w="60"/>
        <w:gridCol w:w="108"/>
        <w:gridCol w:w="797"/>
        <w:gridCol w:w="245"/>
        <w:gridCol w:w="60"/>
        <w:gridCol w:w="135"/>
        <w:gridCol w:w="754"/>
        <w:gridCol w:w="60"/>
        <w:gridCol w:w="60"/>
        <w:gridCol w:w="135"/>
        <w:gridCol w:w="754"/>
        <w:gridCol w:w="60"/>
        <w:gridCol w:w="60"/>
        <w:gridCol w:w="108"/>
        <w:gridCol w:w="797"/>
        <w:gridCol w:w="24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24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sales to external customers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Beverages</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 and maintenance service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Machines revenue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Frozen Beverages</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Frozen beverage and related product sales decreased $0.7 million, or 0.9%, in the three months ended March 29, 2025. Beverage-related sales decreased 7.1% to $41.5 million, with the decrease primarily reflecting weakness in the theater channel due to underperforming movie releases as well as unfavorable foreign exchange impacts from a weaker Mexican Peso. Gallon sales decreased approximately 7% for the three months ended March 29, 2025. Service revenue increased 4.2% to $24.2 million and machine revenue (primarily sales of frozen beverage machines) increased 17.0% to $9.6 million driven by strong growth from theater and convenience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Frozen Beverage segment decreased $2.9 million in the quarter to $2.0 million, as weak beverage sales negatively impacted leverage across the business, and as the business encountered some foreign exchange related headwinds.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Frozen beverage and related product sales increased $2.4 million, or 1.6% in the six months ended March 29, 2025. Beverage-related sales decreased 0.5% to $86.2 million. Gallon sales increased approximately 2% for the six months ended March 29, 2025, with that slight increase in gallon sales offset by a slightly less favorable sales mix in the first quarter and some foreign exchange related headwinds. Service revenue remained relatively flat, increasing 0.1% to $47.9 million. Machine revenue (primarily sales of frozen beverage machines) increased 14.9% to $19.7 million, primarily driven by strong growth from theater and convenience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Frozen Beverage segment decreased $1.9 million in the six months ended March 29, 2025 to $6.2 million, primarily due to the headwinds noted above in the fiscal second quarter, offset by a slightly favorable first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there are many factors that could impact our operating cash flow, most notably net earnings, we believe that our future operating cash flow, along with our borrowing capacity, our current cash and cash equivalent balances and our investment securities is sufficient to satisfy our cash requirements over the next twelve months and beyond, as well as to fund future growth and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108" w:type="dxa"/>
        <w:jc w:val="left"/>
        <w:tblInd w:w="0" w:type="dxa"/>
        <w:tblLayout w:type="fixed"/>
        <w:tblCellMar>
          <w:top w:w="0" w:type="dxa"/>
          <w:left w:w="0" w:type="dxa"/>
          <w:bottom w:w="0" w:type="dxa"/>
          <w:right w:w="0" w:type="dxa"/>
        </w:tblCellMar>
      </w:tblPr>
      <w:tblGrid>
        <w:gridCol w:w="6050"/>
        <w:gridCol w:w="60"/>
        <w:gridCol w:w="155"/>
        <w:gridCol w:w="734"/>
        <w:gridCol w:w="80"/>
        <w:gridCol w:w="60"/>
        <w:gridCol w:w="155"/>
        <w:gridCol w:w="734"/>
        <w:gridCol w:w="80"/>
      </w:tblGrid>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20,611</w:t>
            </w:r>
          </w:p>
        </w:tc>
        <w:tc>
          <w:tcPr>
            <w:tcW w:w="80"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items in net income: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fixed assets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30,960</w:t>
            </w:r>
          </w:p>
        </w:tc>
        <w:tc>
          <w:tcPr>
            <w:tcW w:w="80"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 and deferred costs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3,232</w:t>
            </w:r>
          </w:p>
        </w:tc>
        <w:tc>
          <w:tcPr>
            <w:tcW w:w="80"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disposals of property &amp; equipment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3,208</w:t>
            </w:r>
          </w:p>
        </w:tc>
        <w:tc>
          <w:tcPr>
            <w:tcW w:w="80"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80"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0"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net of effects from purchase of companies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3,167</w:t>
            </w:r>
          </w:p>
        </w:tc>
        <w:tc>
          <w:tcPr>
            <w:tcW w:w="80"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61,698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The net cash outflow of $0.9 million in cash flows associated with changes in assets and liabilities, net of effects from purchase of companies, in the six months ended March 29, 2025, was primarily driven by largely offsetting impacts across working capital categories, including a $13.2 million increase in inventories, a $15.8 million decrease in accounts receivable, and a $3.6 million decrease in cash flow from other operating assets and liabilities, net. In the prior year, the net cash inflow of $3.2 million was primarily driven by a decrease in accounts receivable of $20.1 million mostly offset by an increase in inventories of $17.0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43" w:type="dxa"/>
        <w:jc w:val="left"/>
        <w:tblInd w:w="0" w:type="dxa"/>
        <w:tblLayout w:type="fixed"/>
        <w:tblCellMar>
          <w:top w:w="0" w:type="dxa"/>
          <w:left w:w="0" w:type="dxa"/>
          <w:bottom w:w="0" w:type="dxa"/>
          <w:right w:w="0" w:type="dxa"/>
        </w:tblCellMar>
      </w:tblPr>
      <w:tblGrid>
        <w:gridCol w:w="4085"/>
        <w:gridCol w:w="60"/>
        <w:gridCol w:w="143"/>
        <w:gridCol w:w="746"/>
        <w:gridCol w:w="80"/>
        <w:gridCol w:w="60"/>
        <w:gridCol w:w="143"/>
        <w:gridCol w:w="746"/>
        <w:gridCol w:w="80"/>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plant and equipment include spending for production growth, in addition to acquiring new equipment, infrastructure replacements, and upgrades to maintain competitive standing and position us for future opportunities.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828" w:type="dxa"/>
        <w:jc w:val="left"/>
        <w:tblInd w:w="0" w:type="dxa"/>
        <w:tblLayout w:type="fixed"/>
        <w:tblCellMar>
          <w:top w:w="0" w:type="dxa"/>
          <w:left w:w="0" w:type="dxa"/>
          <w:bottom w:w="0" w:type="dxa"/>
          <w:right w:w="0" w:type="dxa"/>
        </w:tblCellMar>
      </w:tblPr>
      <w:tblGrid>
        <w:gridCol w:w="3770"/>
        <w:gridCol w:w="60"/>
        <w:gridCol w:w="143"/>
        <w:gridCol w:w="746"/>
        <w:gridCol w:w="80"/>
        <w:gridCol w:w="60"/>
        <w:gridCol w:w="143"/>
        <w:gridCol w:w="746"/>
        <w:gridCol w:w="8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to repurchase common stock</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stock</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6,516</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credit facility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borrowings under credit facility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finance lease obligations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cash dividend</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six months ended March 29, 2025, the Company repurchased 39,061 shares of common stock of the Company at an average price of $128.00 per share on the open market, pursuant to the share repurchase program.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issuance of stock decreased in the six months ended March 29, 2025 as the quantity of stock options being exercised continues to decline as the Company began to issue service share units and performance units as forms of stock-based compensation in recent years.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 under credit facility and repayment of borrowings under credit facility relate to the Company’s cash draws and repayments made to primarily fund working capital needs.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increase in payment of cash dividends from prior year period was due to the raising of our quarterly dividend during fiscal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March 29, 2025, we had $48.5 million of Cash and Cash Equivalents and no Long-Term Debt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December 2021, the Company entered into an amended and restated loan agreement (the “Credit Agreement”) with our existing banks which provided for up to a $50 million revolving credit facility repayable in December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21, 2022, the Company entered into an amendment to the Credit Agreement, the “Amended Credit Agreement” which provided for an incremental increase of $175 million in available borrowings. The Amended Credit Agreement also includes an option to increase the size of the revolving credit facility by an amount not to exceed in the aggregate the greater of $225 million or, $50 million plus the Consolidated EBITDA of the Borrowers, subject to the satisfaction of certain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accrues, at the Company’s election at (i) the BSBY Rate (as defined in the Credit Agreement), plus an applicable margin, based upon the Consolidated Net Leverage Ratio, as defined in the Credit Agreement, or (ii) the Alternate Base Rate (a rate based on the higher of (a) the prime rate announced from time-to-time by the Administrative Agent, (b) the Federal Reserve System’s federal funds rate, plus 0.50% or (c) the Daily BSBY Rate, plus an applicable margin). The Alternate Base Rate is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requires the Company to comply with various affirmative and negative covenants, including without limitation (i) covenants to maintain a minimum specified interest coverage ratio and maximum specified net leverage ratio, and (ii) subject to certain exceptions, covenants that prevent or restrict the Company’s ability to pay dividends, engage in certain mergers or acquisitions, make certain investments or loans, incur future indebtedness, alter its capital structure or line of business, prepay subordinated indebtedness, engage in certain transactions with affiliates, or amend its organizational documents. As of March 29, 2025, the Company is in compliance with all financial covenants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March 29, 2025, there was no outstanding balance under the Amended Credit Agreement. As of March 29, 2025, the amount available under the Amended Credit Agreement was $212.7 million, after giving effect to the $12.3 million of letters of credit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Critical Accounting Policies, Judgments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to our critical accounting policies, judgments and estimates from the information provided in Part II, Item 7, Management’s Discussion and Analysis of Financial Condition and Results of Operations - Critical Accounting Policies, Judgments and Estimates, in our Annual Report on Form 10-K for the year ended September 28, 2024, as filed with the SEC on November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has been no material change in the Company’s assessment of its sensitivity to market risk since its presentation set forth, in item 7a. “Quantitative and Qualitative Disclosures About Market Risk,” in our Annual Report on Form 10-K for the year ended September 28, 2024, as filed with the SEC on November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4.</w:t>
      </w:r>
      <w:r>
        <w:rPr>
          <w:rFonts w:ascii="Times New Roman" w:hAnsi="Times New Roman"/>
          <w:caps w:val="false"/>
          <w:smallCaps w:val="false"/>
          <w:sz w:val="20"/>
        </w:rPr>
        <w:t>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under the supervision and with the participation of our principal executive officer and principal financial officer, has evaluated the effectiveness of our disclosure controls and procedures (as defined in Rules 13a-15( e) and 15d-15( e) under the Securities Exchange Act of 1934, as amended, or the Exchange Act, as of March 29, 2025.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Based on such evaluation, our principal executive officer and principal financial officer have concluded that as of March 29, 2025 our disclosure controls and procedures were not effective because of the material weakness in internal control over financial reporting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the ineffective disclosure controls and procedures as a result of the identified material weakness described below, management has concluded that the condensed consolidated financial statements included elsewhere in this Quarterly Report on Form 10-Q present fairly, in all material respects, the Company’s financial position, results of operations and cash flows in accordance with generally accepted accounting principles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Material Weaknesses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previously disclosed, management identified a material weakness related to ineffective information technology general controls (“ITGCs”), including certain controls over logical access and change management. As a result, certain business process controls that are dependent on the ineffective ITGCs or rely on the data produced from systems impacted by the ineffective ITGCs, were also deemed ineffective.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Management</w:t>
      </w:r>
      <w:r>
        <w:rPr>
          <w:rFonts w:ascii="Times New Roman" w:hAnsi="Times New Roman"/>
          <w:caps w:val="false"/>
          <w:smallCaps w:val="false"/>
          <w:sz w:val="20"/>
          <w:u w:val="single"/>
        </w:rPr>
        <w:t>’</w:t>
      </w:r>
      <w:r>
        <w:rPr>
          <w:rFonts w:ascii="Times New Roman" w:hAnsi="Times New Roman"/>
          <w:b/>
          <w:caps w:val="false"/>
          <w:smallCaps w:val="false"/>
          <w:sz w:val="20"/>
          <w:u w:val="single"/>
        </w:rPr>
        <w:t>s Remediation Plan and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management is committed to maintaining a strong internal control environment. In response to the identified material weakness above, management has already taken steps to substantially remediate this material weakness and will continue to take further steps until such remediation is complete. Remediation efforts include ensuring that change management and user access controls are performed timely. Our remediation plan also includes: (i) enhancing processes around reviewing privileged access to key financial systems, (ii) strengthening change management procedures, (iii) expanding the management and governance over ITGCs, (iv) enhancing existing access management procedures and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management continues to evaluate and work to improve our disclosure controls and procedures and internal control over financial reporting, we may take additional measures to address these control deficiencies or modify certain remediation measures described above. We anticipate that the foregoing efforts, when implemented and tested for a sufficient period of time, will remediate the material weakness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than continuing to make progress on the ongoing remediation efforts described above, there were no changes in the Company’s internal control over financial reporting identified in connection with the evaluation required by Rule 13a-15(d) and 15d-15(d) of the Exchange Act that occurred during the quarter ended March 29, 2025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subject, from time to time, to certain legal proceedings and claims that arise from our business. As of the date of this Quarterly Report on Form 10-Q, the Company does not expect that any such proceedings will have a material adverse effect on the Company’s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information on risk factors, please refer to “Risk Factors” in Part I, Item 1A of the Company’s Form 10-K for the fiscal year ended September 28, 2024. The risks identified in that report have not changed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 Unregistered Sales of Equity Securities and the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sets forth repurchases of our common stock during the second quarter of 2025:</w:t>
      </w:r>
    </w:p>
    <w:p>
      <w:pPr>
        <w:pStyle w:val="TextBody"/>
        <w:bidi w:val="0"/>
        <w:spacing w:before="0" w:after="0"/>
        <w:ind w:left="0" w:right="0" w:hanging="0"/>
        <w:jc w:val="left"/>
        <w:rPr>
          <w:caps w:val="false"/>
          <w:smallCaps w:val="false"/>
        </w:rPr>
      </w:pPr>
      <w:r>
        <w:rPr>
          <w:caps w:val="false"/>
          <w:smallCaps w:val="false"/>
        </w:rPr>
        <w:t> </w:t>
      </w:r>
    </w:p>
    <w:tbl>
      <w:tblPr>
        <w:tblW w:w="9996" w:type="dxa"/>
        <w:jc w:val="left"/>
        <w:tblInd w:w="0" w:type="dxa"/>
        <w:tblLayout w:type="fixed"/>
        <w:tblCellMar>
          <w:top w:w="0" w:type="dxa"/>
          <w:left w:w="0" w:type="dxa"/>
          <w:bottom w:w="0" w:type="dxa"/>
          <w:right w:w="0" w:type="dxa"/>
        </w:tblCellMar>
      </w:tblPr>
      <w:tblGrid>
        <w:gridCol w:w="3245"/>
        <w:gridCol w:w="60"/>
        <w:gridCol w:w="108"/>
        <w:gridCol w:w="1081"/>
        <w:gridCol w:w="60"/>
        <w:gridCol w:w="60"/>
        <w:gridCol w:w="80"/>
        <w:gridCol w:w="794"/>
        <w:gridCol w:w="60"/>
        <w:gridCol w:w="60"/>
        <w:gridCol w:w="180"/>
        <w:gridCol w:w="1804"/>
        <w:gridCol w:w="60"/>
        <w:gridCol w:w="60"/>
        <w:gridCol w:w="388"/>
        <w:gridCol w:w="1836"/>
        <w:gridCol w:w="60"/>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Approximate dollar value</w:t>
            </w:r>
          </w:p>
        </w:tc>
        <w:tc>
          <w:tcPr>
            <w:tcW w:w="6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 as part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 that may yet</w:t>
            </w:r>
          </w:p>
        </w:tc>
        <w:tc>
          <w:tcPr>
            <w:tcW w:w="6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publicly announced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 purchased under</w:t>
            </w:r>
          </w:p>
        </w:tc>
        <w:tc>
          <w:tcPr>
            <w:tcW w:w="60" w:type="dxa"/>
            <w:tcBorders/>
            <w:vAlign w:val="center"/>
          </w:tcPr>
          <w:p>
            <w:pPr>
              <w:pStyle w:val="TableContents"/>
              <w:bidi w:val="0"/>
              <w:spacing w:before="0" w:after="283"/>
              <w:jc w:val="left"/>
              <w:rPr/>
            </w:pPr>
            <w:r>
              <w:rPr/>
              <w:t> </w:t>
            </w:r>
          </w:p>
        </w:tc>
      </w:tr>
      <w:tr>
        <w:trPr/>
        <w:tc>
          <w:tcPr>
            <w:tcW w:w="32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 or programs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 or programs (2)</w:t>
            </w:r>
          </w:p>
        </w:tc>
        <w:tc>
          <w:tcPr>
            <w:tcW w:w="6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8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29, 2024 to January 25, 2025</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26, 2025 to February 22, 2025</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ind w:left="0" w:right="0" w:hanging="0"/>
              <w:jc w:val="left"/>
              <w:rPr/>
            </w:pPr>
            <w:r>
              <w:rPr/>
              <w:t> </w:t>
            </w:r>
          </w:p>
        </w:tc>
        <w:tc>
          <w:tcPr>
            <w:tcW w:w="1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23, 2025 to March 29, 2025</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ind w:left="0" w:right="0" w:hanging="0"/>
              <w:jc w:val="left"/>
              <w:rPr/>
            </w:pPr>
            <w:r>
              <w:rPr/>
              <w:t> </w:t>
            </w:r>
          </w:p>
        </w:tc>
        <w:tc>
          <w:tcPr>
            <w:tcW w:w="18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6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March 29, 2025</w:t>
            </w:r>
          </w:p>
        </w:tc>
        <w:tc>
          <w:tcPr>
            <w:tcW w:w="60" w:type="dxa"/>
            <w:tcBorders/>
            <w:shd w:fill="FFFFFF" w:val="clear"/>
            <w:vAlign w:val="center"/>
          </w:tcPr>
          <w:p>
            <w:pPr>
              <w:pStyle w:val="TableContents"/>
              <w:bidi w:val="0"/>
              <w:spacing w:before="0" w:after="283"/>
              <w:jc w:val="left"/>
              <w:rPr/>
            </w:pPr>
            <w:r>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ind w:left="0" w:right="0" w:hanging="0"/>
              <w:jc w:val="left"/>
              <w:rPr/>
            </w:pPr>
            <w:r>
              <w:rPr/>
              <w:t> </w:t>
            </w:r>
          </w:p>
        </w:tc>
        <w:tc>
          <w:tcPr>
            <w:tcW w:w="18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39,061 shares repurchased as part of our publicly announced share repurchase program during the quarter ended March 29, 2025, and there were 178 shares withheld to cover taxes associated with the vesting of certain restricted stock units held by officers and 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49" w:type="dxa"/>
            <w:tcBorders/>
            <w:vAlign w:val="center"/>
          </w:tcPr>
          <w:p>
            <w:pPr>
              <w:pStyle w:val="TableContents"/>
              <w:bidi w:val="0"/>
              <w:spacing w:before="0" w:after="283"/>
              <w:jc w:val="left"/>
              <w:rPr/>
            </w:pPr>
            <w:r>
              <w:rPr/>
              <w:t>On February 3, 2025, the Company announced that the Board of Directors authorized a share repurchase program (the “2025 Share Repurchase Program”), effective for two years, pursuant to which the Company could repurchase up to $50.0 million of the Company’s common stock, exclusive of any fees, commissions, and other expenses related to such repurchases. As of March 29, 2025, there remains $45.0 million of share repurchase availability under the 2025 Share Repurchase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months ended March 29, 2025,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6.</w:t>
      </w:r>
      <w:r>
        <w:rPr>
          <w:rFonts w:ascii="Times New Roman" w:hAnsi="Times New Roman"/>
          <w:caps w:val="false"/>
          <w:smallCaps w:val="false"/>
          <w:sz w:val="20"/>
        </w:rPr>
        <w:t>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pPr>
      <w:hyperlink w:anchor="ex_808075.htm">
        <w:r>
          <w:rPr>
            <w:rStyle w:val="InternetLink"/>
            <w:rFonts w:ascii="Times New Roman" w:hAnsi="Times New Roman"/>
            <w:caps w:val="false"/>
            <w:smallCaps w:val="false"/>
            <w:sz w:val="20"/>
          </w:rPr>
          <w:t>31.1</w:t>
        </w:r>
      </w:hyperlink>
      <w:r>
        <w:rPr>
          <w:rFonts w:ascii="Times New Roman" w:hAnsi="Times New Roman"/>
          <w:caps w:val="false"/>
          <w:smallCaps w:val="false"/>
          <w:sz w:val="20"/>
        </w:rPr>
        <w:t xml:space="preserve"> &amp; </w:t>
      </w:r>
      <w:hyperlink w:anchor="ex_808076.htm">
        <w:r>
          <w:rPr>
            <w:rStyle w:val="InternetLink"/>
            <w:rFonts w:ascii="Times New Roman" w:hAnsi="Times New Roman"/>
            <w:caps w:val="false"/>
            <w:smallCaps w:val="false"/>
            <w:sz w:val="20"/>
          </w:rPr>
          <w:t>31.2</w:t>
        </w:r>
      </w:hyperlink>
      <w:r>
        <w:rPr>
          <w:rFonts w:ascii="Times New Roman" w:hAnsi="Times New Roman"/>
          <w:caps w:val="false"/>
          <w:smallCaps w:val="false"/>
          <w:sz w:val="20"/>
        </w:rPr>
        <w:t>          Certification Pursuant to Section 302 of the Sarbanes-Oxley Act of 2002</w:t>
      </w:r>
    </w:p>
    <w:p>
      <w:pPr>
        <w:pStyle w:val="TextBody"/>
        <w:bidi w:val="0"/>
        <w:spacing w:before="0" w:after="0"/>
        <w:ind w:left="2520" w:right="0" w:hanging="1440"/>
        <w:jc w:val="left"/>
        <w:rPr/>
      </w:pPr>
      <w:hyperlink w:anchor="ex_808077.htm">
        <w:r>
          <w:rPr>
            <w:rStyle w:val="InternetLink"/>
            <w:rFonts w:ascii="Times New Roman" w:hAnsi="Times New Roman"/>
            <w:caps w:val="false"/>
            <w:smallCaps w:val="false"/>
            <w:sz w:val="20"/>
          </w:rPr>
          <w:t>32.1</w:t>
        </w:r>
      </w:hyperlink>
      <w:r>
        <w:rPr>
          <w:rFonts w:ascii="Times New Roman" w:hAnsi="Times New Roman"/>
          <w:caps w:val="false"/>
          <w:smallCaps w:val="false"/>
          <w:sz w:val="20"/>
        </w:rPr>
        <w:t xml:space="preserve"> &amp; </w:t>
      </w:r>
      <w:hyperlink w:anchor="ex_808078.htm">
        <w:r>
          <w:rPr>
            <w:rStyle w:val="InternetLink"/>
            <w:rFonts w:ascii="Times New Roman" w:hAnsi="Times New Roman"/>
            <w:caps w:val="false"/>
            <w:smallCaps w:val="false"/>
            <w:sz w:val="20"/>
          </w:rPr>
          <w:t>32.2</w:t>
        </w:r>
      </w:hyperlink>
      <w:r>
        <w:rPr>
          <w:rFonts w:ascii="Times New Roman" w:hAnsi="Times New Roman"/>
          <w:caps w:val="false"/>
          <w:smallCaps w:val="false"/>
          <w:sz w:val="20"/>
        </w:rPr>
        <w:t>          Certification Pursuant to the 18 U.S.C. Section 1350, as Adopted Pursuant to Section 906 of the Sarbanes-Oxley Act of 2002</w:t>
      </w:r>
    </w:p>
    <w:p>
      <w:pPr>
        <w:pStyle w:val="TextBody"/>
        <w:bidi w:val="0"/>
        <w:spacing w:before="0" w:after="0"/>
        <w:ind w:left="2520" w:right="0" w:hanging="1440"/>
        <w:jc w:val="left"/>
        <w:rPr>
          <w:rFonts w:ascii="Times New Roman" w:hAnsi="Times New Roman"/>
          <w:caps w:val="false"/>
          <w:smallCaps w:val="false"/>
          <w:sz w:val="20"/>
        </w:rPr>
      </w:pPr>
      <w:r>
        <w:rPr>
          <w:rFonts w:ascii="Times New Roman" w:hAnsi="Times New Roman"/>
          <w:caps w:val="false"/>
          <w:smallCaps w:val="false"/>
          <w:sz w:val="20"/>
        </w:rPr>
        <w:t>101.1                    The following financial information from J&amp;J Snack Foods Corp.'s Quarterly Report on Form 10-Q for the quarter ended March 29, 2025, formatted in Inline XBRL (Inline extensible Business Reporting Language):</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75"/>
        <w:gridCol w:w="200"/>
        <w:gridCol w:w="24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2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Balance Sheets,</w:t>
            </w:r>
          </w:p>
        </w:tc>
      </w:tr>
    </w:tbl>
    <w:tbl>
      <w:tblPr>
        <w:tblW w:w="4675" w:type="dxa"/>
        <w:jc w:val="left"/>
        <w:tblInd w:w="0" w:type="dxa"/>
        <w:tblLayout w:type="fixed"/>
        <w:tblCellMar>
          <w:top w:w="0" w:type="dxa"/>
          <w:left w:w="0" w:type="dxa"/>
          <w:bottom w:w="0" w:type="dxa"/>
          <w:right w:w="0" w:type="dxa"/>
        </w:tblCellMar>
      </w:tblPr>
      <w:tblGrid>
        <w:gridCol w:w="75"/>
        <w:gridCol w:w="320"/>
        <w:gridCol w:w="428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4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Earnings,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4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Comprehensive Income,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4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Cash Flows and</w:t>
            </w:r>
          </w:p>
        </w:tc>
      </w:tr>
    </w:tbl>
    <w:tbl>
      <w:tblPr>
        <w:tblW w:w="4570" w:type="dxa"/>
        <w:jc w:val="left"/>
        <w:tblInd w:w="0" w:type="dxa"/>
        <w:tblLayout w:type="fixed"/>
        <w:tblCellMar>
          <w:top w:w="0" w:type="dxa"/>
          <w:left w:w="0" w:type="dxa"/>
          <w:bottom w:w="0" w:type="dxa"/>
          <w:right w:w="0" w:type="dxa"/>
        </w:tblCellMar>
      </w:tblPr>
      <w:tblGrid>
        <w:gridCol w:w="75"/>
        <w:gridCol w:w="305"/>
        <w:gridCol w:w="419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41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Notes to the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1440"/>
        <w:jc w:val="left"/>
        <w:rPr>
          <w:rFonts w:ascii="Times New Roman" w:hAnsi="Times New Roman"/>
          <w:caps w:val="false"/>
          <w:smallCaps w:val="false"/>
          <w:sz w:val="20"/>
        </w:rPr>
      </w:pPr>
      <w:r>
        <w:rPr>
          <w:rFonts w:ascii="Times New Roman" w:hAnsi="Times New Roman"/>
          <w:caps w:val="false"/>
          <w:smallCaps w:val="false"/>
          <w:sz w:val="20"/>
        </w:rPr>
        <w:t>104                        Cover Page Interactive Data File (formatted as Inline XBRL and containing in 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1925"/>
        <w:gridCol w:w="60"/>
        <w:gridCol w:w="4730"/>
        <w:gridCol w:w="60"/>
      </w:tblGrid>
      <w:tr>
        <w:trPr/>
        <w:tc>
          <w:tcPr>
            <w:tcW w:w="1925" w:type="dxa"/>
            <w:tcBorders/>
          </w:tcPr>
          <w:p>
            <w:pPr>
              <w:pStyle w:val="TableContents"/>
              <w:bidi w:val="0"/>
              <w:spacing w:before="0" w:after="0"/>
              <w:ind w:left="0" w:right="0" w:hanging="0"/>
              <w:jc w:val="left"/>
              <w:rPr/>
            </w:pPr>
            <w:r>
              <w:rPr/>
              <w:t> </w:t>
            </w:r>
          </w:p>
        </w:tc>
        <w:tc>
          <w:tcPr>
            <w:tcW w:w="4790" w:type="dxa"/>
            <w:gridSpan w:val="2"/>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1925"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473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 &amp; J SNACK FOODS CORP.</w:t>
            </w:r>
          </w:p>
        </w:tc>
        <w:tc>
          <w:tcPr>
            <w:tcW w:w="60" w:type="dxa"/>
            <w:tcBorders/>
          </w:tcPr>
          <w:p>
            <w:pPr>
              <w:pStyle w:val="TableContents"/>
              <w:bidi w:val="0"/>
              <w:spacing w:before="0" w:after="0"/>
              <w:ind w:left="0" w:right="0" w:hanging="0"/>
              <w:jc w:val="left"/>
              <w:rPr/>
            </w:pPr>
            <w:r>
              <w:rPr/>
              <w:t> </w:t>
            </w:r>
          </w:p>
        </w:tc>
      </w:tr>
      <w:tr>
        <w:trPr/>
        <w:tc>
          <w:tcPr>
            <w:tcW w:w="1925"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4730" w:type="dxa"/>
            <w:tcBorders/>
            <w:vAlign w:val="bottom"/>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192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8, 2025</w:t>
            </w:r>
          </w:p>
        </w:tc>
        <w:tc>
          <w:tcPr>
            <w:tcW w:w="60" w:type="dxa"/>
            <w:tcBorders/>
          </w:tcPr>
          <w:p>
            <w:pPr>
              <w:pStyle w:val="TableContents"/>
              <w:bidi w:val="0"/>
              <w:spacing w:before="0" w:after="0"/>
              <w:ind w:left="0" w:right="0" w:hanging="0"/>
              <w:jc w:val="left"/>
              <w:rPr/>
            </w:pPr>
            <w:r>
              <w:rPr/>
              <w:t> </w:t>
            </w:r>
          </w:p>
        </w:tc>
        <w:tc>
          <w:tcPr>
            <w:tcW w:w="4730"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 Fachner</w:t>
            </w:r>
          </w:p>
        </w:tc>
        <w:tc>
          <w:tcPr>
            <w:tcW w:w="60" w:type="dxa"/>
            <w:tcBorders/>
          </w:tcPr>
          <w:p>
            <w:pPr>
              <w:pStyle w:val="TableContents"/>
              <w:bidi w:val="0"/>
              <w:spacing w:before="0" w:after="0"/>
              <w:ind w:left="0" w:right="0" w:hanging="0"/>
              <w:jc w:val="left"/>
              <w:rPr/>
            </w:pPr>
            <w:r>
              <w:rPr/>
              <w:t> </w:t>
            </w:r>
          </w:p>
        </w:tc>
      </w:tr>
      <w:tr>
        <w:trPr/>
        <w:tc>
          <w:tcPr>
            <w:tcW w:w="1925"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473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 Fachner</w:t>
            </w:r>
          </w:p>
        </w:tc>
        <w:tc>
          <w:tcPr>
            <w:tcW w:w="60" w:type="dxa"/>
            <w:tcBorders/>
          </w:tcPr>
          <w:p>
            <w:pPr>
              <w:pStyle w:val="TableContents"/>
              <w:bidi w:val="0"/>
              <w:spacing w:before="0" w:after="0"/>
              <w:ind w:left="0" w:right="0" w:hanging="0"/>
              <w:jc w:val="left"/>
              <w:rPr/>
            </w:pPr>
            <w:r>
              <w:rPr/>
              <w:t> </w:t>
            </w:r>
          </w:p>
        </w:tc>
      </w:tr>
      <w:tr>
        <w:trPr/>
        <w:tc>
          <w:tcPr>
            <w:tcW w:w="1925"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473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 Officer</w:t>
            </w:r>
          </w:p>
        </w:tc>
        <w:tc>
          <w:tcPr>
            <w:tcW w:w="60" w:type="dxa"/>
            <w:tcBorders/>
          </w:tcPr>
          <w:p>
            <w:pPr>
              <w:pStyle w:val="TableContents"/>
              <w:bidi w:val="0"/>
              <w:spacing w:before="0" w:after="0"/>
              <w:ind w:left="0" w:right="0" w:hanging="0"/>
              <w:jc w:val="left"/>
              <w:rPr/>
            </w:pPr>
            <w:r>
              <w:rPr/>
              <w:t> </w:t>
            </w:r>
          </w:p>
        </w:tc>
      </w:tr>
      <w:tr>
        <w:trPr/>
        <w:tc>
          <w:tcPr>
            <w:tcW w:w="192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30" w:type="dxa"/>
            <w:tcBorders/>
          </w:tcPr>
          <w:p>
            <w:pPr>
              <w:pStyle w:val="TableContents"/>
              <w:bidi w:val="0"/>
              <w:spacing w:before="0" w:after="283"/>
              <w:jc w:val="left"/>
              <w:rPr/>
            </w:pPr>
            <w:r>
              <w:rPr/>
              <w:t>(Principal Executive Officer)</w:t>
            </w:r>
          </w:p>
        </w:tc>
        <w:tc>
          <w:tcPr>
            <w:tcW w:w="60" w:type="dxa"/>
            <w:tcBorders/>
          </w:tcPr>
          <w:p>
            <w:pPr>
              <w:pStyle w:val="TableContents"/>
              <w:bidi w:val="0"/>
              <w:spacing w:before="0" w:after="283"/>
              <w:jc w:val="left"/>
              <w:rPr/>
            </w:pPr>
            <w:r>
              <w:rPr/>
              <w:t> </w:t>
            </w:r>
          </w:p>
        </w:tc>
      </w:tr>
      <w:tr>
        <w:trPr/>
        <w:tc>
          <w:tcPr>
            <w:tcW w:w="192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3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192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3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192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3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1925" w:type="dxa"/>
            <w:tcBorders/>
          </w:tcPr>
          <w:p>
            <w:pPr>
              <w:pStyle w:val="TableContents"/>
              <w:bidi w:val="0"/>
              <w:spacing w:before="0" w:after="283"/>
              <w:jc w:val="left"/>
              <w:rPr/>
            </w:pPr>
            <w:r>
              <w:rPr/>
              <w:t>Dated: May 8, 2025</w:t>
            </w:r>
          </w:p>
        </w:tc>
        <w:tc>
          <w:tcPr>
            <w:tcW w:w="60" w:type="dxa"/>
            <w:tcBorders/>
          </w:tcPr>
          <w:p>
            <w:pPr>
              <w:pStyle w:val="TableContents"/>
              <w:bidi w:val="0"/>
              <w:spacing w:before="0" w:after="283"/>
              <w:jc w:val="left"/>
              <w:rPr/>
            </w:pPr>
            <w:r>
              <w:rPr/>
              <w:t> </w:t>
            </w:r>
          </w:p>
        </w:tc>
        <w:tc>
          <w:tcPr>
            <w:tcW w:w="4730" w:type="dxa"/>
            <w:tcBorders>
              <w:bottom w:val="single" w:sz="2" w:space="0" w:color="000000"/>
            </w:tcBorders>
            <w:tcMar>
              <w:bottom w:w="28" w:type="dxa"/>
            </w:tcMar>
          </w:tcPr>
          <w:p>
            <w:pPr>
              <w:pStyle w:val="TableContents"/>
              <w:bidi w:val="0"/>
              <w:spacing w:before="0" w:after="283"/>
              <w:jc w:val="left"/>
              <w:rPr/>
            </w:pPr>
            <w:r>
              <w:rPr/>
              <w:t>/s/ Shawn Munsell</w:t>
            </w:r>
          </w:p>
        </w:tc>
        <w:tc>
          <w:tcPr>
            <w:tcW w:w="60" w:type="dxa"/>
            <w:tcBorders/>
          </w:tcPr>
          <w:p>
            <w:pPr>
              <w:pStyle w:val="TableContents"/>
              <w:bidi w:val="0"/>
              <w:spacing w:before="0" w:after="283"/>
              <w:jc w:val="left"/>
              <w:rPr/>
            </w:pPr>
            <w:r>
              <w:rPr/>
              <w:t> </w:t>
            </w:r>
          </w:p>
        </w:tc>
      </w:tr>
      <w:tr>
        <w:trPr/>
        <w:tc>
          <w:tcPr>
            <w:tcW w:w="192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30" w:type="dxa"/>
            <w:tcBorders/>
          </w:tcPr>
          <w:p>
            <w:pPr>
              <w:pStyle w:val="TableContents"/>
              <w:bidi w:val="0"/>
              <w:spacing w:before="0" w:after="283"/>
              <w:jc w:val="left"/>
              <w:rPr/>
            </w:pPr>
            <w:r>
              <w:rPr/>
              <w:t>Shawn Munsell</w:t>
            </w:r>
          </w:p>
        </w:tc>
        <w:tc>
          <w:tcPr>
            <w:tcW w:w="60" w:type="dxa"/>
            <w:tcBorders/>
          </w:tcPr>
          <w:p>
            <w:pPr>
              <w:pStyle w:val="TableContents"/>
              <w:bidi w:val="0"/>
              <w:spacing w:before="0" w:after="283"/>
              <w:jc w:val="left"/>
              <w:rPr/>
            </w:pPr>
            <w:r>
              <w:rPr/>
              <w:t> </w:t>
            </w:r>
          </w:p>
        </w:tc>
      </w:tr>
      <w:tr>
        <w:trPr/>
        <w:tc>
          <w:tcPr>
            <w:tcW w:w="192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30" w:type="dxa"/>
            <w:tcBorders/>
          </w:tcPr>
          <w:p>
            <w:pPr>
              <w:pStyle w:val="TableContents"/>
              <w:bidi w:val="0"/>
              <w:spacing w:before="0" w:after="283"/>
              <w:jc w:val="left"/>
              <w:rPr/>
            </w:pPr>
            <w:r>
              <w:rPr/>
              <w:t>Senior Vice President and Chief Financial Officer</w:t>
            </w:r>
          </w:p>
        </w:tc>
        <w:tc>
          <w:tcPr>
            <w:tcW w:w="60" w:type="dxa"/>
            <w:tcBorders/>
          </w:tcPr>
          <w:p>
            <w:pPr>
              <w:pStyle w:val="TableContents"/>
              <w:bidi w:val="0"/>
              <w:spacing w:before="0" w:after="283"/>
              <w:jc w:val="left"/>
              <w:rPr/>
            </w:pPr>
            <w:r>
              <w:rPr/>
              <w:t> </w:t>
            </w:r>
          </w:p>
        </w:tc>
      </w:tr>
      <w:tr>
        <w:trPr/>
        <w:tc>
          <w:tcPr>
            <w:tcW w:w="192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30" w:type="dxa"/>
            <w:tcBorders/>
          </w:tcPr>
          <w:p>
            <w:pPr>
              <w:pStyle w:val="TableContents"/>
              <w:bidi w:val="0"/>
              <w:spacing w:before="0" w:after="283"/>
              <w:jc w:val="left"/>
              <w:rPr/>
            </w:pPr>
            <w:r>
              <w:rPr/>
              <w:t>(Principal Financial Officer)</w:t>
            </w:r>
          </w:p>
        </w:tc>
        <w:tc>
          <w:tcPr>
            <w:tcW w:w="60" w:type="dxa"/>
            <w:tcBorders/>
          </w:tcPr>
          <w:p>
            <w:pPr>
              <w:pStyle w:val="TableContents"/>
              <w:bidi w:val="0"/>
              <w:spacing w:before="0" w:after="283"/>
              <w:jc w:val="left"/>
              <w:rPr/>
            </w:pPr>
            <w:r>
              <w:rPr/>
              <w:t> </w:t>
            </w:r>
          </w:p>
        </w:tc>
      </w:tr>
      <w:tr>
        <w:trPr/>
        <w:tc>
          <w:tcPr>
            <w:tcW w:w="192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4730" w:type="dxa"/>
            <w:tcBorders/>
          </w:tcPr>
          <w:p>
            <w:pPr>
              <w:pStyle w:val="TableContents"/>
              <w:bidi w:val="0"/>
              <w:spacing w:before="0" w:after="283"/>
              <w:jc w:val="left"/>
              <w:rPr/>
            </w:pPr>
            <w:r>
              <w:rPr/>
              <w:t>(Principal Accounting Officer)</w:t>
            </w:r>
          </w:p>
        </w:tc>
        <w:tc>
          <w:tcPr>
            <w:tcW w:w="60" w:type="dxa"/>
            <w:tcBorders/>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29</w:t>
      </w:r>
    </w:p>
    <w:p>
      <w:pPr>
        <w:pStyle w:val="TextBody"/>
        <w:bidi w:val="0"/>
        <w:spacing w:before="0" w:after="0"/>
        <w:ind w:left="0" w:right="0" w:hanging="0"/>
        <w:jc w:val="left"/>
        <w:rPr>
          <w:rFonts w:ascii="Times New Roman" w:hAnsi="Times New Roman"/>
          <w:caps w:val="false"/>
          <w:smallCaps w:val="false"/>
          <w:sz w:val="20"/>
        </w:rPr>
      </w:pPr>
      <w:bookmarkStart w:id="2" w:name="ex_808075.htm"/>
      <w:bookmarkStart w:id="3" w:name="ksex_808075"/>
      <w:bookmarkEnd w:id="2"/>
      <w:bookmarkEnd w:id="3"/>
      <w:r>
        <w:rPr>
          <w:rFonts w:ascii="Times New Roman" w:hAnsi="Times New Roman"/>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302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Dan Fachner,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J &amp; J Snack Foods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controls and procedures for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controls and procedures for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 w:hAnsi="Times New Roman"/>
          <w:caps w:val="false"/>
          <w:smallCaps w:val="false"/>
          <w:sz w:val="20"/>
          <w:u w:val="single"/>
        </w:rPr>
      </w:pPr>
      <w:r>
        <w:rPr>
          <w:rFonts w:ascii="Times New Roman" w:hAnsi="Times New Roman"/>
          <w:caps w:val="false"/>
          <w:smallCaps w:val="false"/>
          <w:sz w:val="20"/>
          <w:u w:val="single"/>
        </w:rPr>
        <w:t>/s/ Dan Fachner</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Dan Fachner</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Chairman, President and Chief Executive Officer </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 </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4" w:name="ex_808076.htm"/>
      <w:bookmarkStart w:id="5" w:name="ksex_808076"/>
      <w:bookmarkEnd w:id="4"/>
      <w:bookmarkEnd w:id="5"/>
      <w:r>
        <w:rPr>
          <w:rFonts w:ascii="Times New Roman" w:hAnsi="Times New Roman"/>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302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Shawn Munsell,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J &amp; J Snack Foods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controls and procedures for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controls and procedures for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 w:hAnsi="Times New Roman"/>
          <w:caps w:val="false"/>
          <w:smallCaps w:val="false"/>
          <w:sz w:val="20"/>
          <w:u w:val="single"/>
        </w:rPr>
      </w:pPr>
      <w:r>
        <w:rPr>
          <w:rFonts w:ascii="Times New Roman" w:hAnsi="Times New Roman"/>
          <w:caps w:val="false"/>
          <w:smallCaps w:val="false"/>
          <w:sz w:val="20"/>
          <w:u w:val="single"/>
        </w:rPr>
        <w:t>/s/ Shawn Munsell</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Shawn Munsell</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Senior Vice President and Chief Financial Officer</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(Principal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6" w:name="ex_808077.htm"/>
      <w:bookmarkStart w:id="7" w:name="ksex_808077"/>
      <w:bookmarkEnd w:id="6"/>
      <w:bookmarkEnd w:id="7"/>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(Section 1350 of Chapter 63 of Title 18 of the United States Code), each of the undersigned officers of J &amp; J Snack Foods Corp. (the “Company”), does hereby certify with respect to the Quarterly Report of the Company on Form 10-Q for the quarter ended March 29, 2025 (the “Report”)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May 8, 2025</w:t>
      </w:r>
    </w:p>
    <w:p>
      <w:pPr>
        <w:pStyle w:val="TextBody"/>
        <w:bidi w:val="0"/>
        <w:spacing w:before="0" w:after="0"/>
        <w:ind w:left="0" w:right="0" w:hanging="0"/>
        <w:jc w:val="left"/>
        <w:rPr>
          <w:caps w:val="false"/>
          <w:smallCaps w:val="false"/>
        </w:rPr>
      </w:pPr>
      <w:r>
        <w:rPr>
          <w:caps w:val="false"/>
          <w:smallCaps w:val="false"/>
        </w:rPr>
        <w:t> </w:t>
      </w:r>
    </w:p>
    <w:tbl>
      <w:tblPr>
        <w:tblW w:w="4025" w:type="dxa"/>
        <w:jc w:val="left"/>
        <w:tblInd w:w="0" w:type="dxa"/>
        <w:tblLayout w:type="fixed"/>
        <w:tblCellMar>
          <w:top w:w="0" w:type="dxa"/>
          <w:left w:w="0" w:type="dxa"/>
          <w:bottom w:w="0" w:type="dxa"/>
          <w:right w:w="0" w:type="dxa"/>
        </w:tblCellMar>
      </w:tblPr>
      <w:tblGrid>
        <w:gridCol w:w="60"/>
        <w:gridCol w:w="3965"/>
      </w:tblGrid>
      <w:tr>
        <w:trPr/>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Dan Fachner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Dan Fachner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President and 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8" w:name="ex_808078.htm"/>
      <w:bookmarkStart w:id="9" w:name="ksex_808078"/>
      <w:bookmarkEnd w:id="8"/>
      <w:bookmarkEnd w:id="9"/>
      <w:r>
        <w:rPr>
          <w:rFonts w:ascii="Times New Roman" w:hAnsi="Times New Roman"/>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(Section 1350 of Chapter 63 of Title 18 of the United States Code), each of the undersigned officers of J &amp; J Snack Foods Corp. (the “Company”), does hereby certify with respect to the Quarterly Report of the Company on Form 10-Q for the quarter ended March 29, 2025 (the “Report”)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May 8, 2025</w:t>
      </w:r>
    </w:p>
    <w:p>
      <w:pPr>
        <w:pStyle w:val="TextBody"/>
        <w:bidi w:val="0"/>
        <w:spacing w:before="0" w:after="0"/>
        <w:ind w:left="0" w:right="0" w:hanging="0"/>
        <w:jc w:val="left"/>
        <w:rPr>
          <w:caps w:val="false"/>
          <w:smallCaps w:val="false"/>
        </w:rPr>
      </w:pPr>
      <w:r>
        <w:rPr>
          <w:caps w:val="false"/>
          <w:smallCaps w:val="false"/>
        </w:rPr>
        <w:t> </w:t>
      </w:r>
    </w:p>
    <w:tbl>
      <w:tblPr>
        <w:tblW w:w="4070" w:type="dxa"/>
        <w:jc w:val="left"/>
        <w:tblInd w:w="0" w:type="dxa"/>
        <w:tblLayout w:type="fixed"/>
        <w:tblCellMar>
          <w:top w:w="0" w:type="dxa"/>
          <w:left w:w="0" w:type="dxa"/>
          <w:bottom w:w="0" w:type="dxa"/>
          <w:right w:w="0" w:type="dxa"/>
        </w:tblCellMar>
      </w:tblPr>
      <w:tblGrid>
        <w:gridCol w:w="60"/>
        <w:gridCol w:w="4010"/>
      </w:tblGrid>
      <w:tr>
        <w:trPr/>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Shawn Munsell</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Munsell</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Vice President and 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16652</Words>
  <Characters>89166</Characters>
  <CharactersWithSpaces>109828</CharactersWithSpaces>
  <Paragraphs>9387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