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jjsf20250628_10q.htm"/>
      <w:bookmarkStart w:id="1" w:name="ksjjsf20250628_10q"/>
      <w:bookmarkEnd w:id="0"/>
      <w:bookmarkEnd w:id="1"/>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40"/>
        </w:rPr>
      </w:pPr>
      <w:r>
        <w:rPr>
          <w:rFonts w:ascii="Times New Roman" w:hAnsi="Times New Roman"/>
          <w:b/>
          <w:caps w:val="false"/>
          <w:smallCaps w:val="false"/>
          <w:sz w:val="40"/>
        </w:rPr>
        <w:t>UNITED STATES</w:t>
      </w:r>
    </w:p>
    <w:p>
      <w:pPr>
        <w:pStyle w:val="TextBody"/>
        <w:bidi w:val="0"/>
        <w:spacing w:before="0" w:after="0"/>
        <w:ind w:left="0" w:right="0" w:hanging="0"/>
        <w:jc w:val="center"/>
        <w:rPr>
          <w:rFonts w:ascii="Times New Roman" w:hAnsi="Times New Roman"/>
          <w:b/>
          <w:caps w:val="false"/>
          <w:smallCaps w:val="false"/>
          <w:sz w:val="40"/>
        </w:rPr>
      </w:pPr>
      <w:r>
        <w:rPr>
          <w:rFonts w:ascii="Times New Roman" w:hAnsi="Times New Roman"/>
          <w:b/>
          <w:caps w:val="false"/>
          <w:smallCaps w:val="false"/>
          <w:sz w:val="40"/>
        </w:rPr>
        <w:t>SECURITIES AND EXCHANGE COMMISSION</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40"/>
        </w:rPr>
      </w:pPr>
      <w:r>
        <w:rPr>
          <w:rFonts w:ascii="Times New Roman" w:hAnsi="Times New Roman"/>
          <w:b/>
          <w:caps w:val="false"/>
          <w:smallCaps w:val="false"/>
          <w:sz w:val="40"/>
        </w:rPr>
        <w:t>FORM 10-Q</w:t>
      </w:r>
    </w:p>
    <w:p>
      <w:pPr>
        <w:pStyle w:val="TextBody"/>
        <w:bidi w:val="0"/>
        <w:spacing w:before="0" w:after="0"/>
        <w:ind w:left="0" w:right="0" w:hanging="0"/>
        <w:jc w:val="left"/>
        <w:rPr>
          <w:caps w:val="false"/>
          <w:smallCaps w:val="false"/>
        </w:rPr>
      </w:pPr>
      <w:r>
        <w:rPr>
          <w:caps w:val="false"/>
          <w:smallCaps w:val="false"/>
        </w:rPr>
        <w:t> </w:t>
      </w:r>
    </w:p>
    <w:tbl>
      <w:tblPr>
        <w:tblW w:w="7390" w:type="dxa"/>
        <w:jc w:val="left"/>
        <w:tblInd w:w="0" w:type="dxa"/>
        <w:tblLayout w:type="fixed"/>
        <w:tblCellMar>
          <w:top w:w="0" w:type="dxa"/>
          <w:left w:w="0" w:type="dxa"/>
          <w:bottom w:w="0" w:type="dxa"/>
          <w:right w:w="0" w:type="dxa"/>
        </w:tblCellMar>
      </w:tblPr>
      <w:tblGrid>
        <w:gridCol w:w="230"/>
        <w:gridCol w:w="7160"/>
      </w:tblGrid>
      <w:tr>
        <w:trPr/>
        <w:tc>
          <w:tcPr>
            <w:tcW w:w="230" w:type="dxa"/>
            <w:tcBorders/>
            <w:vAlign w:val="center"/>
          </w:tcPr>
          <w:p>
            <w:pPr>
              <w:pStyle w:val="TableContents"/>
              <w:bidi w:val="0"/>
              <w:spacing w:before="0" w:after="0"/>
              <w:ind w:left="0" w:right="0" w:hanging="0"/>
              <w:jc w:val="left"/>
              <w:rPr/>
            </w:pPr>
            <w:r>
              <w:rPr/>
              <w:t>☒</w:t>
            </w:r>
          </w:p>
        </w:tc>
        <w:tc>
          <w:tcPr>
            <w:tcW w:w="71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Quarterly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tbl>
      <w:tblPr>
        <w:tblW w:w="2945" w:type="dxa"/>
        <w:jc w:val="left"/>
        <w:tblInd w:w="0" w:type="dxa"/>
        <w:tblLayout w:type="fixed"/>
        <w:tblCellMar>
          <w:top w:w="0" w:type="dxa"/>
          <w:left w:w="0" w:type="dxa"/>
          <w:bottom w:w="0" w:type="dxa"/>
          <w:right w:w="0" w:type="dxa"/>
        </w:tblCellMar>
      </w:tblPr>
      <w:tblGrid>
        <w:gridCol w:w="60"/>
        <w:gridCol w:w="2885"/>
      </w:tblGrid>
      <w:tr>
        <w:trPr/>
        <w:tc>
          <w:tcPr>
            <w:tcW w:w="60" w:type="dxa"/>
            <w:tcBorders/>
            <w:vAlign w:val="center"/>
          </w:tcPr>
          <w:p>
            <w:pPr>
              <w:pStyle w:val="TableContents"/>
              <w:bidi w:val="0"/>
              <w:spacing w:before="0" w:after="0"/>
              <w:ind w:left="0" w:right="0" w:hanging="0"/>
              <w:jc w:val="left"/>
              <w:rPr/>
            </w:pPr>
            <w:r>
              <w:rPr/>
              <w:t> </w:t>
            </w:r>
          </w:p>
        </w:tc>
        <w:tc>
          <w:tcPr>
            <w:tcW w:w="28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the period ended June 28,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tbl>
      <w:tblPr>
        <w:tblW w:w="7465" w:type="dxa"/>
        <w:jc w:val="left"/>
        <w:tblInd w:w="0" w:type="dxa"/>
        <w:tblLayout w:type="fixed"/>
        <w:tblCellMar>
          <w:top w:w="0" w:type="dxa"/>
          <w:left w:w="0" w:type="dxa"/>
          <w:bottom w:w="0" w:type="dxa"/>
          <w:right w:w="0" w:type="dxa"/>
        </w:tblCellMar>
      </w:tblPr>
      <w:tblGrid>
        <w:gridCol w:w="230"/>
        <w:gridCol w:w="7235"/>
      </w:tblGrid>
      <w:tr>
        <w:trPr/>
        <w:tc>
          <w:tcPr>
            <w:tcW w:w="230" w:type="dxa"/>
            <w:tcBorders/>
            <w:vAlign w:val="center"/>
          </w:tcPr>
          <w:p>
            <w:pPr>
              <w:pStyle w:val="TableContents"/>
              <w:bidi w:val="0"/>
              <w:spacing w:before="0" w:after="0"/>
              <w:ind w:left="0" w:right="0" w:hanging="0"/>
              <w:jc w:val="left"/>
              <w:rPr/>
            </w:pPr>
            <w:r>
              <w:rPr/>
              <w:t>☐</w:t>
            </w:r>
          </w:p>
        </w:tc>
        <w:tc>
          <w:tcPr>
            <w:tcW w:w="72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Transition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tbl>
      <w:tblPr>
        <w:tblW w:w="3815" w:type="dxa"/>
        <w:jc w:val="left"/>
        <w:tblInd w:w="0" w:type="dxa"/>
        <w:tblLayout w:type="fixed"/>
        <w:tblCellMar>
          <w:top w:w="0" w:type="dxa"/>
          <w:left w:w="0" w:type="dxa"/>
          <w:bottom w:w="0" w:type="dxa"/>
          <w:right w:w="0" w:type="dxa"/>
        </w:tblCellMar>
      </w:tblPr>
      <w:tblGrid>
        <w:gridCol w:w="60"/>
        <w:gridCol w:w="3755"/>
      </w:tblGrid>
      <w:tr>
        <w:trPr/>
        <w:tc>
          <w:tcPr>
            <w:tcW w:w="60" w:type="dxa"/>
            <w:tcBorders/>
            <w:vAlign w:val="center"/>
          </w:tcPr>
          <w:p>
            <w:pPr>
              <w:pStyle w:val="TableContents"/>
              <w:bidi w:val="0"/>
              <w:spacing w:before="0" w:after="0"/>
              <w:ind w:left="0" w:right="0" w:hanging="0"/>
              <w:jc w:val="left"/>
              <w:rPr/>
            </w:pPr>
            <w:r>
              <w:rPr/>
              <w:t> </w:t>
            </w:r>
          </w:p>
        </w:tc>
        <w:tc>
          <w:tcPr>
            <w:tcW w:w="37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the transition period from _____ to _____</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 File Number: 0-14616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40"/>
        </w:rPr>
      </w:pPr>
      <w:r>
        <w:rPr>
          <w:rFonts w:ascii="Times New Roman" w:hAnsi="Times New Roman"/>
          <w:b/>
          <w:caps w:val="false"/>
          <w:smallCaps w:val="false"/>
          <w:sz w:val="40"/>
        </w:rPr>
        <w:t>J&amp;J SNACK FOODS CORP.</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9040" w:type="dxa"/>
        <w:jc w:val="left"/>
        <w:tblInd w:w="0" w:type="dxa"/>
        <w:tblLayout w:type="fixed"/>
        <w:tblCellMar>
          <w:top w:w="0" w:type="dxa"/>
          <w:left w:w="0" w:type="dxa"/>
          <w:bottom w:w="0" w:type="dxa"/>
          <w:right w:w="0" w:type="dxa"/>
        </w:tblCellMar>
      </w:tblPr>
      <w:tblGrid>
        <w:gridCol w:w="5600"/>
        <w:gridCol w:w="3440"/>
      </w:tblGrid>
      <w:tr>
        <w:trPr/>
        <w:tc>
          <w:tcPr>
            <w:tcW w:w="5600" w:type="dxa"/>
            <w:tcBorders/>
            <w:vAlign w:val="center"/>
          </w:tcPr>
          <w:p>
            <w:pPr>
              <w:pStyle w:val="TableContents"/>
              <w:bidi w:val="0"/>
              <w:spacing w:before="0" w:after="283"/>
              <w:jc w:val="center"/>
              <w:rPr>
                <w:b/>
              </w:rPr>
            </w:pPr>
            <w:r>
              <w:rPr>
                <w:b/>
              </w:rPr>
              <w:t>New Jersey</w:t>
            </w:r>
          </w:p>
        </w:tc>
        <w:tc>
          <w:tcPr>
            <w:tcW w:w="3440" w:type="dxa"/>
            <w:tcBorders/>
            <w:vAlign w:val="center"/>
          </w:tcPr>
          <w:p>
            <w:pPr>
              <w:pStyle w:val="TableContents"/>
              <w:bidi w:val="0"/>
              <w:spacing w:before="0" w:after="283"/>
              <w:jc w:val="center"/>
              <w:rPr>
                <w:b/>
              </w:rPr>
            </w:pPr>
            <w:r>
              <w:rPr>
                <w:b/>
              </w:rPr>
              <w:t>22-1935537</w:t>
            </w:r>
          </w:p>
        </w:tc>
      </w:tr>
      <w:tr>
        <w:trPr/>
        <w:tc>
          <w:tcPr>
            <w:tcW w:w="5600" w:type="dxa"/>
            <w:tcBorders/>
            <w:vAlign w:val="center"/>
          </w:tcPr>
          <w:p>
            <w:pPr>
              <w:pStyle w:val="TableContents"/>
              <w:bidi w:val="0"/>
              <w:spacing w:before="0" w:after="283"/>
              <w:jc w:val="center"/>
              <w:rPr/>
            </w:pPr>
            <w:r>
              <w:rPr/>
              <w:t>(State or other jurisdiction of incorporation or organization)</w:t>
            </w:r>
          </w:p>
        </w:tc>
        <w:tc>
          <w:tcPr>
            <w:tcW w:w="3440" w:type="dxa"/>
            <w:tcBorders/>
            <w:vAlign w:val="center"/>
          </w:tcPr>
          <w:p>
            <w:pPr>
              <w:pStyle w:val="TableContents"/>
              <w:bidi w:val="0"/>
              <w:spacing w:before="0" w:after="283"/>
              <w:jc w:val="center"/>
              <w:rPr/>
            </w:pPr>
            <w:r>
              <w:rPr/>
              <w:t>(I.R.S. Employer Identification No.)</w:t>
            </w:r>
          </w:p>
        </w:tc>
      </w:tr>
      <w:tr>
        <w:trPr/>
        <w:tc>
          <w:tcPr>
            <w:tcW w:w="5600" w:type="dxa"/>
            <w:tcBorders/>
            <w:vAlign w:val="center"/>
          </w:tcPr>
          <w:p>
            <w:pPr>
              <w:pStyle w:val="TableContents"/>
              <w:bidi w:val="0"/>
              <w:spacing w:before="0" w:after="283"/>
              <w:jc w:val="center"/>
              <w:rPr/>
            </w:pPr>
            <w:r>
              <w:rPr/>
              <w:t> </w:t>
            </w:r>
          </w:p>
        </w:tc>
        <w:tc>
          <w:tcPr>
            <w:tcW w:w="3440" w:type="dxa"/>
            <w:tcBorders/>
            <w:vAlign w:val="center"/>
          </w:tcPr>
          <w:p>
            <w:pPr>
              <w:pStyle w:val="TableContents"/>
              <w:bidi w:val="0"/>
              <w:spacing w:before="0" w:after="283"/>
              <w:jc w:val="center"/>
              <w:rPr/>
            </w:pPr>
            <w:r>
              <w:rPr/>
              <w:t> </w:t>
            </w:r>
          </w:p>
        </w:tc>
      </w:tr>
      <w:tr>
        <w:trPr/>
        <w:tc>
          <w:tcPr>
            <w:tcW w:w="5600" w:type="dxa"/>
            <w:tcBorders/>
            <w:vAlign w:val="center"/>
          </w:tcPr>
          <w:p>
            <w:pPr>
              <w:pStyle w:val="TableContents"/>
              <w:bidi w:val="0"/>
              <w:spacing w:before="0" w:after="283"/>
              <w:jc w:val="center"/>
              <w:rPr/>
            </w:pPr>
            <w:r>
              <w:rPr/>
              <w:t> </w:t>
            </w:r>
          </w:p>
        </w:tc>
        <w:tc>
          <w:tcPr>
            <w:tcW w:w="3440" w:type="dxa"/>
            <w:tcBorders/>
            <w:vAlign w:val="center"/>
          </w:tcPr>
          <w:p>
            <w:pPr>
              <w:pStyle w:val="TableContents"/>
              <w:bidi w:val="0"/>
              <w:spacing w:before="0" w:after="283"/>
              <w:jc w:val="center"/>
              <w:rPr/>
            </w:pPr>
            <w:r>
              <w:rPr/>
              <w:t> </w:t>
            </w:r>
          </w:p>
        </w:tc>
      </w:tr>
      <w:tr>
        <w:trPr/>
        <w:tc>
          <w:tcPr>
            <w:tcW w:w="5600" w:type="dxa"/>
            <w:tcBorders/>
            <w:vAlign w:val="center"/>
          </w:tcPr>
          <w:p>
            <w:pPr>
              <w:pStyle w:val="TableContents"/>
              <w:bidi w:val="0"/>
              <w:spacing w:before="0" w:after="283"/>
              <w:jc w:val="center"/>
              <w:rPr>
                <w:b/>
              </w:rPr>
            </w:pPr>
            <w:r>
              <w:rPr>
                <w:b/>
              </w:rPr>
              <w:t>350 Fellowship Road,</w:t>
            </w:r>
          </w:p>
        </w:tc>
        <w:tc>
          <w:tcPr>
            <w:tcW w:w="3440" w:type="dxa"/>
            <w:tcBorders/>
            <w:vAlign w:val="center"/>
          </w:tcPr>
          <w:p>
            <w:pPr>
              <w:pStyle w:val="TableContents"/>
              <w:bidi w:val="0"/>
              <w:spacing w:before="0" w:after="283"/>
              <w:jc w:val="center"/>
              <w:rPr>
                <w:b/>
              </w:rPr>
            </w:pPr>
            <w:r>
              <w:rPr>
                <w:b/>
              </w:rPr>
              <w:t>08054</w:t>
            </w:r>
          </w:p>
        </w:tc>
      </w:tr>
      <w:tr>
        <w:trPr/>
        <w:tc>
          <w:tcPr>
            <w:tcW w:w="5600" w:type="dxa"/>
            <w:tcBorders/>
            <w:vAlign w:val="center"/>
          </w:tcPr>
          <w:p>
            <w:pPr>
              <w:pStyle w:val="TableContents"/>
              <w:bidi w:val="0"/>
              <w:spacing w:before="0" w:after="283"/>
              <w:jc w:val="center"/>
              <w:rPr>
                <w:b/>
              </w:rPr>
            </w:pPr>
            <w:r>
              <w:rPr>
                <w:b/>
              </w:rPr>
              <w:t>Mt. Laurel, New Jersey</w:t>
            </w:r>
          </w:p>
        </w:tc>
        <w:tc>
          <w:tcPr>
            <w:tcW w:w="3440" w:type="dxa"/>
            <w:tcBorders/>
            <w:vAlign w:val="center"/>
          </w:tcPr>
          <w:p>
            <w:pPr>
              <w:pStyle w:val="TableContents"/>
              <w:bidi w:val="0"/>
              <w:spacing w:before="0" w:after="283"/>
              <w:jc w:val="center"/>
              <w:rPr/>
            </w:pPr>
            <w:r>
              <w:rPr/>
              <w:t>(Zip code)</w:t>
            </w:r>
          </w:p>
        </w:tc>
      </w:tr>
      <w:tr>
        <w:trPr/>
        <w:tc>
          <w:tcPr>
            <w:tcW w:w="5600" w:type="dxa"/>
            <w:tcBorders/>
            <w:vAlign w:val="center"/>
          </w:tcPr>
          <w:p>
            <w:pPr>
              <w:pStyle w:val="TableContents"/>
              <w:bidi w:val="0"/>
              <w:spacing w:before="0" w:after="283"/>
              <w:jc w:val="center"/>
              <w:rPr/>
            </w:pPr>
            <w:r>
              <w:rPr/>
              <w:t>(Address of principal executive offices)</w:t>
            </w:r>
          </w:p>
        </w:tc>
        <w:tc>
          <w:tcPr>
            <w:tcW w:w="344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Telephone (856) 665-9533</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Exchange Act:</w:t>
      </w:r>
    </w:p>
    <w:p>
      <w:pPr>
        <w:pStyle w:val="TextBody"/>
        <w:bidi w:val="0"/>
        <w:spacing w:before="0" w:after="0"/>
        <w:ind w:left="0" w:right="0" w:hanging="0"/>
        <w:jc w:val="left"/>
        <w:rPr>
          <w:caps w:val="false"/>
          <w:smallCaps w:val="false"/>
        </w:rPr>
      </w:pPr>
      <w:r>
        <w:rPr>
          <w:caps w:val="false"/>
          <w:smallCaps w:val="false"/>
        </w:rPr>
        <w:t> </w:t>
      </w:r>
    </w:p>
    <w:tbl>
      <w:tblPr>
        <w:tblW w:w="7680" w:type="dxa"/>
        <w:jc w:val="left"/>
        <w:tblInd w:w="0" w:type="dxa"/>
        <w:tblLayout w:type="fixed"/>
        <w:tblCellMar>
          <w:top w:w="0" w:type="dxa"/>
          <w:left w:w="0" w:type="dxa"/>
          <w:bottom w:w="28" w:type="dxa"/>
          <w:right w:w="0" w:type="dxa"/>
        </w:tblCellMar>
      </w:tblPr>
      <w:tblGrid>
        <w:gridCol w:w="2375"/>
        <w:gridCol w:w="1415"/>
        <w:gridCol w:w="3890"/>
      </w:tblGrid>
      <w:tr>
        <w:trPr/>
        <w:tc>
          <w:tcPr>
            <w:tcW w:w="2375"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1415"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Trading Symbol</w:t>
            </w:r>
          </w:p>
        </w:tc>
        <w:tc>
          <w:tcPr>
            <w:tcW w:w="3890"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237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Common Stock, no par value</w:t>
            </w:r>
          </w:p>
        </w:tc>
        <w:tc>
          <w:tcPr>
            <w:tcW w:w="141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JJSF</w:t>
            </w:r>
          </w:p>
        </w:tc>
        <w:tc>
          <w:tcPr>
            <w:tcW w:w="389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Yes ☐ No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[X] Yes [ ] No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smaller reporting company, or an emerging growth company. See the definition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625" w:type="dxa"/>
        <w:jc w:val="left"/>
        <w:tblInd w:w="0" w:type="dxa"/>
        <w:tblLayout w:type="fixed"/>
        <w:tblCellMar>
          <w:top w:w="0" w:type="dxa"/>
          <w:left w:w="0" w:type="dxa"/>
          <w:bottom w:w="0" w:type="dxa"/>
          <w:right w:w="0" w:type="dxa"/>
        </w:tblCellMar>
      </w:tblPr>
      <w:tblGrid>
        <w:gridCol w:w="1925"/>
        <w:gridCol w:w="230"/>
        <w:gridCol w:w="2225"/>
        <w:gridCol w:w="245"/>
      </w:tblGrid>
      <w:tr>
        <w:trPr/>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w:t>
            </w:r>
          </w:p>
        </w:tc>
        <w:tc>
          <w:tcPr>
            <w:tcW w:w="245" w:type="dxa"/>
            <w:tcBorders/>
            <w:vAlign w:val="center"/>
          </w:tcPr>
          <w:p>
            <w:pPr>
              <w:pStyle w:val="TableContents"/>
              <w:bidi w:val="0"/>
              <w:spacing w:before="0" w:after="283"/>
              <w:jc w:val="left"/>
              <w:rPr/>
            </w:pPr>
            <w:r>
              <w:rPr/>
              <w:t>☐</w:t>
            </w:r>
          </w:p>
        </w:tc>
      </w:tr>
      <w:tr>
        <w:trPr/>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Smaller reporting company</w:t>
            </w:r>
          </w:p>
        </w:tc>
        <w:tc>
          <w:tcPr>
            <w:tcW w:w="245" w:type="dxa"/>
            <w:tcBorders/>
            <w:vAlign w:val="center"/>
          </w:tcPr>
          <w:p>
            <w:pPr>
              <w:pStyle w:val="TableContents"/>
              <w:bidi w:val="0"/>
              <w:spacing w:before="0" w:after="283"/>
              <w:jc w:val="left"/>
              <w:rPr/>
            </w:pPr>
            <w:r>
              <w:rPr/>
              <w:t>☐</w:t>
            </w:r>
          </w:p>
        </w:tc>
      </w:tr>
      <w:tr>
        <w:trPr/>
        <w:tc>
          <w:tcPr>
            <w:tcW w:w="192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Exchange Act). ☐ Yes ☒ No</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the number of shares outstanding of each of the issuer’s classes of common stock, as of the latest practicable date.</w:t>
      </w:r>
    </w:p>
    <w:p>
      <w:pPr>
        <w:pStyle w:val="TextBody"/>
        <w:bidi w:val="0"/>
        <w:spacing w:before="0" w:after="0"/>
        <w:ind w:left="0" w:right="0" w:hanging="0"/>
        <w:jc w:val="left"/>
        <w:rPr>
          <w:caps w:val="false"/>
          <w:smallCaps w:val="false"/>
        </w:rPr>
      </w:pPr>
      <w:r>
        <w:rPr>
          <w:caps w:val="false"/>
          <w:smallCaps w:val="false"/>
        </w:rPr>
        <w:t> </w:t>
      </w:r>
    </w:p>
    <w:tbl>
      <w:tblPr>
        <w:tblW w:w="5155" w:type="dxa"/>
        <w:jc w:val="left"/>
        <w:tblInd w:w="0" w:type="dxa"/>
        <w:tblLayout w:type="fixed"/>
        <w:tblCellMar>
          <w:top w:w="0" w:type="dxa"/>
          <w:left w:w="0" w:type="dxa"/>
          <w:bottom w:w="28" w:type="dxa"/>
          <w:right w:w="0" w:type="dxa"/>
        </w:tblCellMar>
      </w:tblPr>
      <w:tblGrid>
        <w:gridCol w:w="2375"/>
        <w:gridCol w:w="2780"/>
      </w:tblGrid>
      <w:tr>
        <w:trPr/>
        <w:tc>
          <w:tcPr>
            <w:tcW w:w="2375"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Class</w:t>
            </w:r>
          </w:p>
        </w:tc>
        <w:tc>
          <w:tcPr>
            <w:tcW w:w="2780"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Outstanding as of August 4, 2025</w:t>
            </w:r>
          </w:p>
        </w:tc>
      </w:tr>
      <w:tr>
        <w:trPr/>
        <w:tc>
          <w:tcPr>
            <w:tcW w:w="237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Common Stock, no par value</w:t>
            </w:r>
          </w:p>
        </w:tc>
        <w:tc>
          <w:tcPr>
            <w:tcW w:w="278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19,467,716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909"/>
        <w:gridCol w:w="8540"/>
        <w:gridCol w:w="681"/>
      </w:tblGrid>
      <w:tr>
        <w:trPr/>
        <w:tc>
          <w:tcPr>
            <w:tcW w:w="984" w:type="dxa"/>
            <w:gridSpan w:val="2"/>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INDEX</w:t>
            </w:r>
          </w:p>
        </w:tc>
        <w:tc>
          <w:tcPr>
            <w:tcW w:w="8540"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09" w:type="dxa"/>
            <w:tcBorders/>
            <w:vAlign w:val="center"/>
          </w:tcPr>
          <w:p>
            <w:pPr>
              <w:pStyle w:val="TableContents"/>
              <w:bidi w:val="0"/>
              <w:spacing w:before="0" w:after="283"/>
              <w:jc w:val="left"/>
              <w:rPr/>
            </w:pPr>
            <w:r>
              <w:rPr/>
              <w:t> </w:t>
            </w:r>
          </w:p>
        </w:tc>
        <w:tc>
          <w:tcPr>
            <w:tcW w:w="8540"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Page</w:t>
            </w:r>
          </w:p>
        </w:tc>
      </w:tr>
      <w:tr>
        <w:trPr/>
        <w:tc>
          <w:tcPr>
            <w:tcW w:w="75" w:type="dxa"/>
            <w:tcBorders/>
            <w:vAlign w:val="center"/>
          </w:tcPr>
          <w:p>
            <w:pPr>
              <w:pStyle w:val="TableContents"/>
              <w:bidi w:val="0"/>
              <w:spacing w:before="0" w:after="283"/>
              <w:jc w:val="left"/>
              <w:rPr/>
            </w:pPr>
            <w:r>
              <w:rPr/>
              <w:t> </w:t>
            </w:r>
          </w:p>
        </w:tc>
        <w:tc>
          <w:tcPr>
            <w:tcW w:w="909" w:type="dxa"/>
            <w:tcBorders/>
            <w:vAlign w:val="center"/>
          </w:tcPr>
          <w:p>
            <w:pPr>
              <w:pStyle w:val="TableContents"/>
              <w:bidi w:val="0"/>
              <w:spacing w:before="0" w:after="283"/>
              <w:jc w:val="left"/>
              <w:rPr/>
            </w:pPr>
            <w:r>
              <w:rPr/>
              <w:t> </w:t>
            </w:r>
          </w:p>
        </w:tc>
        <w:tc>
          <w:tcPr>
            <w:tcW w:w="8540"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Number</w:t>
            </w:r>
          </w:p>
        </w:tc>
      </w:tr>
      <w:tr>
        <w:trPr/>
        <w:tc>
          <w:tcPr>
            <w:tcW w:w="98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 I.</w:t>
            </w:r>
          </w:p>
        </w:tc>
        <w:tc>
          <w:tcPr>
            <w:tcW w:w="85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Information</w:t>
            </w:r>
          </w:p>
        </w:tc>
        <w:tc>
          <w:tcPr>
            <w:tcW w:w="681" w:type="dxa"/>
            <w:tcBorders/>
            <w:shd w:fill="CCEE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left"/>
              <w:rPr/>
            </w:pPr>
            <w:r>
              <w:rPr/>
              <w:t> </w:t>
            </w:r>
          </w:p>
        </w:tc>
        <w:tc>
          <w:tcPr>
            <w:tcW w:w="8540"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l.</w:t>
            </w:r>
          </w:p>
        </w:tc>
        <w:tc>
          <w:tcPr>
            <w:tcW w:w="9221" w:type="dxa"/>
            <w:gridSpan w:val="2"/>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Financial Statements</w:t>
            </w:r>
          </w:p>
        </w:tc>
      </w:tr>
      <w:tr>
        <w:trPr/>
        <w:tc>
          <w:tcPr>
            <w:tcW w:w="75"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left"/>
              <w:rPr/>
            </w:pPr>
            <w:r>
              <w:rPr/>
              <w:t> </w:t>
            </w:r>
          </w:p>
        </w:tc>
        <w:tc>
          <w:tcPr>
            <w:tcW w:w="8540"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9449" w:type="dxa"/>
            <w:gridSpan w:val="2"/>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Balance Sheets – June 28, 2025 (unaudited) and September 28, 2024</w:t>
            </w:r>
          </w:p>
        </w:tc>
        <w:tc>
          <w:tcPr>
            <w:tcW w:w="6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r>
      <w:tr>
        <w:trPr/>
        <w:tc>
          <w:tcPr>
            <w:tcW w:w="75"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left"/>
              <w:rPr/>
            </w:pPr>
            <w:r>
              <w:rPr/>
              <w:t> </w:t>
            </w:r>
          </w:p>
        </w:tc>
        <w:tc>
          <w:tcPr>
            <w:tcW w:w="8540"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9449" w:type="dxa"/>
            <w:gridSpan w:val="2"/>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Statements of Earnings (unaudited) - Three and Nine Months Ended June 28, 2025 and June 29, 2024</w:t>
            </w:r>
          </w:p>
        </w:tc>
        <w:tc>
          <w:tcPr>
            <w:tcW w:w="6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r>
      <w:tr>
        <w:trPr/>
        <w:tc>
          <w:tcPr>
            <w:tcW w:w="75"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left"/>
              <w:rPr/>
            </w:pPr>
            <w:r>
              <w:rPr/>
              <w:t> </w:t>
            </w:r>
          </w:p>
        </w:tc>
        <w:tc>
          <w:tcPr>
            <w:tcW w:w="8540"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9449" w:type="dxa"/>
            <w:gridSpan w:val="2"/>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Statements of Comprehensive Income (unaudited)– Three and Nine Months Ended June 28, 2025 and June 29, 2024</w:t>
            </w:r>
          </w:p>
        </w:tc>
        <w:tc>
          <w:tcPr>
            <w:tcW w:w="6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r>
      <w:tr>
        <w:trPr/>
        <w:tc>
          <w:tcPr>
            <w:tcW w:w="75"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left"/>
              <w:rPr/>
            </w:pPr>
            <w:r>
              <w:rPr/>
              <w:t> </w:t>
            </w:r>
          </w:p>
        </w:tc>
        <w:tc>
          <w:tcPr>
            <w:tcW w:w="8540"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9449" w:type="dxa"/>
            <w:gridSpan w:val="2"/>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Statements of Changes In Stockholders’ Equity (unaudited) – Three and Nine Months Ended June 28, 2025 and June 29, 2024</w:t>
            </w:r>
          </w:p>
        </w:tc>
        <w:tc>
          <w:tcPr>
            <w:tcW w:w="6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r>
      <w:tr>
        <w:trPr/>
        <w:tc>
          <w:tcPr>
            <w:tcW w:w="75"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left"/>
              <w:rPr/>
            </w:pPr>
            <w:r>
              <w:rPr/>
              <w:t> </w:t>
            </w:r>
          </w:p>
        </w:tc>
        <w:tc>
          <w:tcPr>
            <w:tcW w:w="8540"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9449" w:type="dxa"/>
            <w:gridSpan w:val="2"/>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Statements of Cash Flows (unaudited)– Three and Nine Months Ended June 28, 2025 and June 29, 2024</w:t>
            </w:r>
          </w:p>
        </w:tc>
        <w:tc>
          <w:tcPr>
            <w:tcW w:w="6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r>
      <w:tr>
        <w:trPr/>
        <w:tc>
          <w:tcPr>
            <w:tcW w:w="75"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left"/>
              <w:rPr/>
            </w:pPr>
            <w:r>
              <w:rPr/>
              <w:t> </w:t>
            </w:r>
          </w:p>
        </w:tc>
        <w:tc>
          <w:tcPr>
            <w:tcW w:w="8540"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9449" w:type="dxa"/>
            <w:gridSpan w:val="2"/>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Notes to the Consolidated Financial Statements (unaudited)</w:t>
            </w:r>
          </w:p>
        </w:tc>
        <w:tc>
          <w:tcPr>
            <w:tcW w:w="6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r>
      <w:tr>
        <w:trPr/>
        <w:tc>
          <w:tcPr>
            <w:tcW w:w="75"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left"/>
              <w:rPr/>
            </w:pPr>
            <w:r>
              <w:rPr/>
              <w:t> </w:t>
            </w:r>
          </w:p>
        </w:tc>
        <w:tc>
          <w:tcPr>
            <w:tcW w:w="8540"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2.</w:t>
            </w:r>
          </w:p>
        </w:tc>
        <w:tc>
          <w:tcPr>
            <w:tcW w:w="85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Management’s Discussion and Analysis of Financial Condition and Results of Operations</w:t>
            </w:r>
          </w:p>
        </w:tc>
        <w:tc>
          <w:tcPr>
            <w:tcW w:w="6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21</w:t>
            </w:r>
          </w:p>
        </w:tc>
      </w:tr>
      <w:tr>
        <w:trPr/>
        <w:tc>
          <w:tcPr>
            <w:tcW w:w="75"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left"/>
              <w:rPr/>
            </w:pPr>
            <w:r>
              <w:rPr/>
              <w:t> </w:t>
            </w:r>
          </w:p>
        </w:tc>
        <w:tc>
          <w:tcPr>
            <w:tcW w:w="8540"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3.</w:t>
            </w:r>
          </w:p>
        </w:tc>
        <w:tc>
          <w:tcPr>
            <w:tcW w:w="85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Quantitative and Qualitative Disclosures About Market Risk</w:t>
            </w:r>
          </w:p>
        </w:tc>
        <w:tc>
          <w:tcPr>
            <w:tcW w:w="6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29</w:t>
            </w:r>
          </w:p>
        </w:tc>
      </w:tr>
      <w:tr>
        <w:trPr/>
        <w:tc>
          <w:tcPr>
            <w:tcW w:w="75"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left"/>
              <w:rPr/>
            </w:pPr>
            <w:r>
              <w:rPr/>
              <w:t> </w:t>
            </w:r>
          </w:p>
        </w:tc>
        <w:tc>
          <w:tcPr>
            <w:tcW w:w="8540"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4.</w:t>
            </w:r>
          </w:p>
        </w:tc>
        <w:tc>
          <w:tcPr>
            <w:tcW w:w="85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Controls and Procedures</w:t>
            </w:r>
          </w:p>
        </w:tc>
        <w:tc>
          <w:tcPr>
            <w:tcW w:w="6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w:t>
            </w:r>
          </w:p>
        </w:tc>
      </w:tr>
      <w:tr>
        <w:trPr/>
        <w:tc>
          <w:tcPr>
            <w:tcW w:w="75"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left"/>
              <w:rPr/>
            </w:pPr>
            <w:r>
              <w:rPr/>
              <w:t> </w:t>
            </w:r>
          </w:p>
        </w:tc>
        <w:tc>
          <w:tcPr>
            <w:tcW w:w="8540"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r>
      <w:tr>
        <w:trPr/>
        <w:tc>
          <w:tcPr>
            <w:tcW w:w="9524" w:type="dxa"/>
            <w:gridSpan w:val="3"/>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 II. Other Information</w:t>
            </w:r>
          </w:p>
        </w:tc>
        <w:tc>
          <w:tcPr>
            <w:tcW w:w="681" w:type="dxa"/>
            <w:tcBorders/>
            <w:shd w:fill="CCEE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left"/>
              <w:rPr/>
            </w:pPr>
            <w:r>
              <w:rPr/>
              <w:t> </w:t>
            </w:r>
          </w:p>
        </w:tc>
        <w:tc>
          <w:tcPr>
            <w:tcW w:w="8540"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1.</w:t>
            </w:r>
          </w:p>
        </w:tc>
        <w:tc>
          <w:tcPr>
            <w:tcW w:w="85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Legal Proceedings                                </w:t>
            </w:r>
          </w:p>
        </w:tc>
        <w:tc>
          <w:tcPr>
            <w:tcW w:w="6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30</w:t>
            </w:r>
          </w:p>
        </w:tc>
      </w:tr>
      <w:tr>
        <w:trPr/>
        <w:tc>
          <w:tcPr>
            <w:tcW w:w="75"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left"/>
              <w:rPr/>
            </w:pPr>
            <w:r>
              <w:rPr/>
              <w:t> </w:t>
            </w:r>
          </w:p>
        </w:tc>
        <w:tc>
          <w:tcPr>
            <w:tcW w:w="8540"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1A.</w:t>
            </w:r>
          </w:p>
        </w:tc>
        <w:tc>
          <w:tcPr>
            <w:tcW w:w="85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 Factors                                </w:t>
            </w:r>
          </w:p>
        </w:tc>
        <w:tc>
          <w:tcPr>
            <w:tcW w:w="6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30</w:t>
            </w:r>
          </w:p>
        </w:tc>
      </w:tr>
      <w:tr>
        <w:trPr/>
        <w:tc>
          <w:tcPr>
            <w:tcW w:w="75"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left"/>
              <w:rPr/>
            </w:pPr>
            <w:r>
              <w:rPr/>
              <w:t> </w:t>
            </w:r>
          </w:p>
        </w:tc>
        <w:tc>
          <w:tcPr>
            <w:tcW w:w="8540"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2.</w:t>
            </w:r>
          </w:p>
        </w:tc>
        <w:tc>
          <w:tcPr>
            <w:tcW w:w="85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Unregistered Sales of Equity Securities and Use of Proceeds</w:t>
            </w:r>
          </w:p>
        </w:tc>
        <w:tc>
          <w:tcPr>
            <w:tcW w:w="6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30</w:t>
            </w:r>
          </w:p>
        </w:tc>
      </w:tr>
      <w:tr>
        <w:trPr/>
        <w:tc>
          <w:tcPr>
            <w:tcW w:w="75"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left"/>
              <w:rPr/>
            </w:pPr>
            <w:r>
              <w:rPr/>
              <w:t> </w:t>
            </w:r>
          </w:p>
        </w:tc>
        <w:tc>
          <w:tcPr>
            <w:tcW w:w="8540"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5.</w:t>
            </w:r>
          </w:p>
        </w:tc>
        <w:tc>
          <w:tcPr>
            <w:tcW w:w="85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Information                             </w:t>
            </w:r>
          </w:p>
        </w:tc>
        <w:tc>
          <w:tcPr>
            <w:tcW w:w="6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30</w:t>
            </w:r>
          </w:p>
        </w:tc>
      </w:tr>
      <w:tr>
        <w:trPr/>
        <w:tc>
          <w:tcPr>
            <w:tcW w:w="75"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left"/>
              <w:rPr/>
            </w:pPr>
            <w:r>
              <w:rPr/>
              <w:t> </w:t>
            </w:r>
          </w:p>
        </w:tc>
        <w:tc>
          <w:tcPr>
            <w:tcW w:w="8540"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6.</w:t>
            </w:r>
          </w:p>
        </w:tc>
        <w:tc>
          <w:tcPr>
            <w:tcW w:w="85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Exhibits                                    </w:t>
            </w:r>
          </w:p>
        </w:tc>
        <w:tc>
          <w:tcPr>
            <w:tcW w:w="6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jc w:val="left"/>
        <w:rPr/>
      </w:pPr>
      <w:r>
        <w:rPr/>
        <w:t> </w:t>
      </w:r>
    </w:p>
    <w:tbl>
      <w:tblPr>
        <w:tblW w:w="3280" w:type="dxa"/>
        <w:jc w:val="left"/>
        <w:tblInd w:w="0" w:type="dxa"/>
        <w:tblLayout w:type="fixed"/>
        <w:tblCellMar>
          <w:top w:w="0" w:type="dxa"/>
          <w:left w:w="0" w:type="dxa"/>
          <w:bottom w:w="0" w:type="dxa"/>
          <w:right w:w="0" w:type="dxa"/>
        </w:tblCellMar>
      </w:tblPr>
      <w:tblGrid>
        <w:gridCol w:w="710"/>
        <w:gridCol w:w="2570"/>
      </w:tblGrid>
      <w:tr>
        <w:trPr/>
        <w:tc>
          <w:tcPr>
            <w:tcW w:w="71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PART I.</w:t>
            </w:r>
          </w:p>
        </w:tc>
        <w:tc>
          <w:tcPr>
            <w:tcW w:w="25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FINANCIAL INFORMATION</w:t>
            </w:r>
          </w:p>
        </w:tc>
      </w:tr>
    </w:tbl>
    <w:p>
      <w:pPr>
        <w:pStyle w:val="TextBody"/>
        <w:bidi w:val="0"/>
        <w:spacing w:before="0" w:after="0"/>
        <w:ind w:left="0" w:right="0" w:hanging="0"/>
        <w:jc w:val="left"/>
        <w:rPr>
          <w:caps w:val="false"/>
          <w:smallCaps w:val="false"/>
        </w:rPr>
      </w:pPr>
      <w:r>
        <w:rPr>
          <w:caps w:val="false"/>
          <w:smallCaps w:val="false"/>
        </w:rPr>
        <w:t> </w:t>
      </w:r>
    </w:p>
    <w:tbl>
      <w:tblPr>
        <w:tblW w:w="3550" w:type="dxa"/>
        <w:jc w:val="left"/>
        <w:tblInd w:w="0" w:type="dxa"/>
        <w:tblLayout w:type="fixed"/>
        <w:tblCellMar>
          <w:top w:w="0" w:type="dxa"/>
          <w:left w:w="0" w:type="dxa"/>
          <w:bottom w:w="0" w:type="dxa"/>
          <w:right w:w="0" w:type="dxa"/>
        </w:tblCellMar>
      </w:tblPr>
      <w:tblGrid>
        <w:gridCol w:w="605"/>
        <w:gridCol w:w="2945"/>
      </w:tblGrid>
      <w:tr>
        <w:trPr/>
        <w:tc>
          <w:tcPr>
            <w:tcW w:w="6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1.</w:t>
            </w:r>
          </w:p>
        </w:tc>
        <w:tc>
          <w:tcPr>
            <w:tcW w:w="294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Financial Statements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J &amp; J SNACK FOODS CORP. AND SUBSIDIARIES</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CONSOLIDATED BALANCE SHEETS</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(in thousands, except share amounts)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781"/>
        <w:gridCol w:w="60"/>
        <w:gridCol w:w="125"/>
        <w:gridCol w:w="850"/>
        <w:gridCol w:w="80"/>
        <w:gridCol w:w="60"/>
        <w:gridCol w:w="148"/>
        <w:gridCol w:w="1003"/>
        <w:gridCol w:w="98"/>
      </w:tblGrid>
      <w:tr>
        <w:trPr/>
        <w:tc>
          <w:tcPr>
            <w:tcW w:w="77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center"/>
              <w:rPr/>
            </w:pPr>
            <w:r>
              <w:rPr/>
              <w:t> </w:t>
            </w:r>
          </w:p>
        </w:tc>
        <w:tc>
          <w:tcPr>
            <w:tcW w:w="98" w:type="dxa"/>
            <w:tcBorders/>
            <w:vAlign w:val="center"/>
          </w:tcPr>
          <w:p>
            <w:pPr>
              <w:pStyle w:val="TableContents"/>
              <w:bidi w:val="0"/>
              <w:spacing w:before="0" w:after="283"/>
              <w:jc w:val="left"/>
              <w:rPr/>
            </w:pPr>
            <w:r>
              <w:rPr/>
              <w:t> </w:t>
            </w:r>
          </w:p>
        </w:tc>
      </w:tr>
      <w:tr>
        <w:trPr/>
        <w:tc>
          <w:tcPr>
            <w:tcW w:w="77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28,</w:t>
            </w:r>
          </w:p>
        </w:tc>
        <w:tc>
          <w:tcPr>
            <w:tcW w:w="98" w:type="dxa"/>
            <w:tcBorders/>
            <w:vAlign w:val="center"/>
          </w:tcPr>
          <w:p>
            <w:pPr>
              <w:pStyle w:val="TableContents"/>
              <w:bidi w:val="0"/>
              <w:spacing w:before="0" w:after="283"/>
              <w:jc w:val="left"/>
              <w:rPr/>
            </w:pPr>
            <w:r>
              <w:rPr/>
              <w:t> </w:t>
            </w:r>
          </w:p>
        </w:tc>
      </w:tr>
      <w:tr>
        <w:trPr/>
        <w:tc>
          <w:tcPr>
            <w:tcW w:w="77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98" w:type="dxa"/>
            <w:tcBorders/>
            <w:vAlign w:val="center"/>
          </w:tcPr>
          <w:p>
            <w:pPr>
              <w:pStyle w:val="TableContents"/>
              <w:bidi w:val="0"/>
              <w:spacing w:before="0" w:after="283"/>
              <w:jc w:val="left"/>
              <w:rPr/>
            </w:pPr>
            <w:r>
              <w:rPr/>
              <w:t> </w:t>
            </w:r>
          </w:p>
        </w:tc>
      </w:tr>
      <w:tr>
        <w:trPr/>
        <w:tc>
          <w:tcPr>
            <w:tcW w:w="7781"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778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7781"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77,377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73,394</w:t>
            </w:r>
          </w:p>
        </w:tc>
        <w:tc>
          <w:tcPr>
            <w:tcW w:w="98" w:type="dxa"/>
            <w:tcBorders/>
            <w:shd w:fill="CCEEFF" w:val="clear"/>
            <w:vAlign w:val="center"/>
          </w:tcPr>
          <w:p>
            <w:pPr>
              <w:pStyle w:val="TableContents"/>
              <w:bidi w:val="0"/>
              <w:spacing w:before="0" w:after="283"/>
              <w:jc w:val="left"/>
              <w:rPr/>
            </w:pPr>
            <w:r>
              <w:rPr/>
              <w:t> </w:t>
            </w:r>
          </w:p>
        </w:tc>
      </w:tr>
      <w:tr>
        <w:trPr/>
        <w:tc>
          <w:tcPr>
            <w:tcW w:w="7781"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205,965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10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189,233</w:t>
            </w:r>
          </w:p>
        </w:tc>
        <w:tc>
          <w:tcPr>
            <w:tcW w:w="98" w:type="dxa"/>
            <w:tcBorders/>
            <w:shd w:fill="FFFFFF" w:val="clear"/>
            <w:vAlign w:val="center"/>
          </w:tcPr>
          <w:p>
            <w:pPr>
              <w:pStyle w:val="TableContents"/>
              <w:bidi w:val="0"/>
              <w:spacing w:before="0" w:after="283"/>
              <w:jc w:val="left"/>
              <w:rPr/>
            </w:pPr>
            <w:r>
              <w:rPr/>
              <w:t> </w:t>
            </w:r>
          </w:p>
        </w:tc>
      </w:tr>
      <w:tr>
        <w:trPr/>
        <w:tc>
          <w:tcPr>
            <w:tcW w:w="7781"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194,965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10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173,141</w:t>
            </w:r>
          </w:p>
        </w:tc>
        <w:tc>
          <w:tcPr>
            <w:tcW w:w="98" w:type="dxa"/>
            <w:tcBorders/>
            <w:shd w:fill="CCEEFF" w:val="clear"/>
            <w:vAlign w:val="center"/>
          </w:tcPr>
          <w:p>
            <w:pPr>
              <w:pStyle w:val="TableContents"/>
              <w:bidi w:val="0"/>
              <w:spacing w:before="0" w:after="283"/>
              <w:jc w:val="left"/>
              <w:rPr/>
            </w:pPr>
            <w:r>
              <w:rPr/>
              <w:t> </w:t>
            </w:r>
          </w:p>
        </w:tc>
      </w:tr>
      <w:tr>
        <w:trPr/>
        <w:tc>
          <w:tcPr>
            <w:tcW w:w="7781"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14,646</w:t>
            </w:r>
          </w:p>
        </w:tc>
        <w:tc>
          <w:tcPr>
            <w:tcW w:w="98" w:type="dxa"/>
            <w:tcBorders/>
            <w:shd w:fill="FFFFFF" w:val="clear"/>
            <w:vAlign w:val="center"/>
          </w:tcPr>
          <w:p>
            <w:pPr>
              <w:pStyle w:val="TableContents"/>
              <w:bidi w:val="0"/>
              <w:spacing w:before="0" w:after="283"/>
              <w:jc w:val="left"/>
              <w:rPr/>
            </w:pPr>
            <w:r>
              <w:rPr/>
              <w:t> </w:t>
            </w:r>
          </w:p>
        </w:tc>
      </w:tr>
      <w:tr>
        <w:trPr/>
        <w:tc>
          <w:tcPr>
            <w:tcW w:w="7781"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488,449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10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450,414</w:t>
            </w:r>
          </w:p>
        </w:tc>
        <w:tc>
          <w:tcPr>
            <w:tcW w:w="98" w:type="dxa"/>
            <w:tcBorders/>
            <w:shd w:fill="CCEEFF" w:val="clear"/>
            <w:vAlign w:val="center"/>
          </w:tcPr>
          <w:p>
            <w:pPr>
              <w:pStyle w:val="TableContents"/>
              <w:bidi w:val="0"/>
              <w:spacing w:before="0" w:after="283"/>
              <w:jc w:val="left"/>
              <w:rPr/>
            </w:pPr>
            <w:r>
              <w:rPr/>
              <w:t> </w:t>
            </w:r>
          </w:p>
        </w:tc>
      </w:tr>
      <w:tr>
        <w:trPr/>
        <w:tc>
          <w:tcPr>
            <w:tcW w:w="77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77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 at cost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7781"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Land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10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3,684</w:t>
            </w:r>
          </w:p>
        </w:tc>
        <w:tc>
          <w:tcPr>
            <w:tcW w:w="98" w:type="dxa"/>
            <w:tcBorders/>
            <w:shd w:fill="FFFFFF" w:val="clear"/>
            <w:vAlign w:val="center"/>
          </w:tcPr>
          <w:p>
            <w:pPr>
              <w:pStyle w:val="TableContents"/>
              <w:bidi w:val="0"/>
              <w:spacing w:before="0" w:after="283"/>
              <w:jc w:val="left"/>
              <w:rPr/>
            </w:pPr>
            <w:r>
              <w:rPr/>
              <w:t> </w:t>
            </w:r>
          </w:p>
        </w:tc>
      </w:tr>
      <w:tr>
        <w:trPr/>
        <w:tc>
          <w:tcPr>
            <w:tcW w:w="7781"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Buildings and improvements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129,349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10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122,919</w:t>
            </w:r>
          </w:p>
        </w:tc>
        <w:tc>
          <w:tcPr>
            <w:tcW w:w="98" w:type="dxa"/>
            <w:tcBorders/>
            <w:shd w:fill="CCEEFF" w:val="clear"/>
            <w:vAlign w:val="center"/>
          </w:tcPr>
          <w:p>
            <w:pPr>
              <w:pStyle w:val="TableContents"/>
              <w:bidi w:val="0"/>
              <w:spacing w:before="0" w:after="283"/>
              <w:jc w:val="left"/>
              <w:rPr/>
            </w:pPr>
            <w:r>
              <w:rPr/>
              <w:t> </w:t>
            </w:r>
          </w:p>
        </w:tc>
      </w:tr>
      <w:tr>
        <w:trPr/>
        <w:tc>
          <w:tcPr>
            <w:tcW w:w="7781"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Plant machinery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518,529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10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475,194</w:t>
            </w:r>
          </w:p>
        </w:tc>
        <w:tc>
          <w:tcPr>
            <w:tcW w:w="98" w:type="dxa"/>
            <w:tcBorders/>
            <w:shd w:fill="FFFFFF" w:val="clear"/>
            <w:vAlign w:val="center"/>
          </w:tcPr>
          <w:p>
            <w:pPr>
              <w:pStyle w:val="TableContents"/>
              <w:bidi w:val="0"/>
              <w:spacing w:before="0" w:after="283"/>
              <w:jc w:val="left"/>
              <w:rPr/>
            </w:pPr>
            <w:r>
              <w:rPr/>
              <w:t> </w:t>
            </w:r>
          </w:p>
        </w:tc>
      </w:tr>
      <w:tr>
        <w:trPr/>
        <w:tc>
          <w:tcPr>
            <w:tcW w:w="7781"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Marketing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314,535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10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317,269</w:t>
            </w:r>
          </w:p>
        </w:tc>
        <w:tc>
          <w:tcPr>
            <w:tcW w:w="98" w:type="dxa"/>
            <w:tcBorders/>
            <w:shd w:fill="CCEEFF" w:val="clear"/>
            <w:vAlign w:val="center"/>
          </w:tcPr>
          <w:p>
            <w:pPr>
              <w:pStyle w:val="TableContents"/>
              <w:bidi w:val="0"/>
              <w:spacing w:before="0" w:after="283"/>
              <w:jc w:val="left"/>
              <w:rPr/>
            </w:pPr>
            <w:r>
              <w:rPr/>
              <w:t> </w:t>
            </w:r>
          </w:p>
        </w:tc>
      </w:tr>
      <w:tr>
        <w:trPr/>
        <w:tc>
          <w:tcPr>
            <w:tcW w:w="7781"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Transportation equipment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10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15,796</w:t>
            </w:r>
          </w:p>
        </w:tc>
        <w:tc>
          <w:tcPr>
            <w:tcW w:w="98" w:type="dxa"/>
            <w:tcBorders/>
            <w:shd w:fill="FFFFFF" w:val="clear"/>
            <w:vAlign w:val="center"/>
          </w:tcPr>
          <w:p>
            <w:pPr>
              <w:pStyle w:val="TableContents"/>
              <w:bidi w:val="0"/>
              <w:spacing w:before="0" w:after="283"/>
              <w:jc w:val="left"/>
              <w:rPr/>
            </w:pPr>
            <w:r>
              <w:rPr/>
              <w:t> </w:t>
            </w:r>
          </w:p>
        </w:tc>
      </w:tr>
      <w:tr>
        <w:trPr/>
        <w:tc>
          <w:tcPr>
            <w:tcW w:w="7781"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Office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50,986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10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48,589</w:t>
            </w:r>
          </w:p>
        </w:tc>
        <w:tc>
          <w:tcPr>
            <w:tcW w:w="98" w:type="dxa"/>
            <w:tcBorders/>
            <w:shd w:fill="CCEEFF" w:val="clear"/>
            <w:vAlign w:val="center"/>
          </w:tcPr>
          <w:p>
            <w:pPr>
              <w:pStyle w:val="TableContents"/>
              <w:bidi w:val="0"/>
              <w:spacing w:before="0" w:after="283"/>
              <w:jc w:val="left"/>
              <w:rPr/>
            </w:pPr>
            <w:r>
              <w:rPr/>
              <w:t> </w:t>
            </w:r>
          </w:p>
        </w:tc>
      </w:tr>
      <w:tr>
        <w:trPr/>
        <w:tc>
          <w:tcPr>
            <w:tcW w:w="7781"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Construction in progress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28,592</w:t>
            </w:r>
          </w:p>
        </w:tc>
        <w:tc>
          <w:tcPr>
            <w:tcW w:w="98" w:type="dxa"/>
            <w:tcBorders/>
            <w:shd w:fill="FFFFFF" w:val="clear"/>
            <w:vAlign w:val="center"/>
          </w:tcPr>
          <w:p>
            <w:pPr>
              <w:pStyle w:val="TableContents"/>
              <w:bidi w:val="0"/>
              <w:spacing w:before="0" w:after="283"/>
              <w:jc w:val="left"/>
              <w:rPr/>
            </w:pPr>
            <w:r>
              <w:rPr/>
              <w:t> </w:t>
            </w:r>
          </w:p>
        </w:tc>
      </w:tr>
      <w:tr>
        <w:trPr/>
        <w:tc>
          <w:tcPr>
            <w:tcW w:w="7781"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Property, plant and equipment, at cost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1,046,546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10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1,012,043</w:t>
            </w:r>
          </w:p>
        </w:tc>
        <w:tc>
          <w:tcPr>
            <w:tcW w:w="98" w:type="dxa"/>
            <w:tcBorders/>
            <w:shd w:fill="CCEEFF" w:val="clear"/>
            <w:vAlign w:val="center"/>
          </w:tcPr>
          <w:p>
            <w:pPr>
              <w:pStyle w:val="TableContents"/>
              <w:bidi w:val="0"/>
              <w:spacing w:before="0" w:after="283"/>
              <w:jc w:val="left"/>
              <w:rPr/>
            </w:pPr>
            <w:r>
              <w:rPr/>
              <w:t> </w:t>
            </w:r>
          </w:p>
        </w:tc>
      </w:tr>
      <w:tr>
        <w:trPr/>
        <w:tc>
          <w:tcPr>
            <w:tcW w:w="7781"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accumulated depreciation and amortization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641,563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620,858</w:t>
            </w:r>
          </w:p>
        </w:tc>
        <w:tc>
          <w:tcPr>
            <w:tcW w:w="98" w:type="dxa"/>
            <w:tcBorders/>
            <w:shd w:fill="FFFFFF" w:val="clear"/>
            <w:vAlign w:val="center"/>
          </w:tcPr>
          <w:p>
            <w:pPr>
              <w:pStyle w:val="TableContents"/>
              <w:bidi w:val="0"/>
              <w:spacing w:before="0" w:after="283"/>
              <w:jc w:val="left"/>
              <w:rPr/>
            </w:pPr>
            <w:r>
              <w:rPr/>
              <w:t> </w:t>
            </w:r>
          </w:p>
        </w:tc>
      </w:tr>
      <w:tr>
        <w:trPr/>
        <w:tc>
          <w:tcPr>
            <w:tcW w:w="7781"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404,983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10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391,185</w:t>
            </w:r>
          </w:p>
        </w:tc>
        <w:tc>
          <w:tcPr>
            <w:tcW w:w="98" w:type="dxa"/>
            <w:tcBorders/>
            <w:shd w:fill="CCEEFF" w:val="clear"/>
            <w:vAlign w:val="center"/>
          </w:tcPr>
          <w:p>
            <w:pPr>
              <w:pStyle w:val="TableContents"/>
              <w:bidi w:val="0"/>
              <w:spacing w:before="0" w:after="283"/>
              <w:jc w:val="left"/>
              <w:rPr/>
            </w:pPr>
            <w:r>
              <w:rPr/>
              <w:t> </w:t>
            </w:r>
          </w:p>
        </w:tc>
      </w:tr>
      <w:tr>
        <w:trPr/>
        <w:tc>
          <w:tcPr>
            <w:tcW w:w="77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77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7781"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185,070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10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185,070</w:t>
            </w:r>
          </w:p>
        </w:tc>
        <w:tc>
          <w:tcPr>
            <w:tcW w:w="98" w:type="dxa"/>
            <w:tcBorders/>
            <w:shd w:fill="FFFFFF" w:val="clear"/>
            <w:vAlign w:val="center"/>
          </w:tcPr>
          <w:p>
            <w:pPr>
              <w:pStyle w:val="TableContents"/>
              <w:bidi w:val="0"/>
              <w:spacing w:before="0" w:after="283"/>
              <w:jc w:val="left"/>
              <w:rPr/>
            </w:pPr>
            <w:r>
              <w:rPr/>
              <w:t> </w:t>
            </w:r>
          </w:p>
        </w:tc>
      </w:tr>
      <w:tr>
        <w:trPr/>
        <w:tc>
          <w:tcPr>
            <w:tcW w:w="7781"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name intangible assets,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106,677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10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109,695</w:t>
            </w:r>
          </w:p>
        </w:tc>
        <w:tc>
          <w:tcPr>
            <w:tcW w:w="98" w:type="dxa"/>
            <w:tcBorders/>
            <w:shd w:fill="CCEEFF" w:val="clear"/>
            <w:vAlign w:val="center"/>
          </w:tcPr>
          <w:p>
            <w:pPr>
              <w:pStyle w:val="TableContents"/>
              <w:bidi w:val="0"/>
              <w:spacing w:before="0" w:after="283"/>
              <w:jc w:val="left"/>
              <w:rPr/>
            </w:pPr>
            <w:r>
              <w:rPr/>
              <w:t> </w:t>
            </w:r>
          </w:p>
        </w:tc>
      </w:tr>
      <w:tr>
        <w:trPr/>
        <w:tc>
          <w:tcPr>
            <w:tcW w:w="7781"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intangible assets,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68,184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10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72,561</w:t>
            </w:r>
          </w:p>
        </w:tc>
        <w:tc>
          <w:tcPr>
            <w:tcW w:w="98" w:type="dxa"/>
            <w:tcBorders/>
            <w:shd w:fill="FFFFFF" w:val="clear"/>
            <w:vAlign w:val="center"/>
          </w:tcPr>
          <w:p>
            <w:pPr>
              <w:pStyle w:val="TableContents"/>
              <w:bidi w:val="0"/>
              <w:spacing w:before="0" w:after="283"/>
              <w:jc w:val="left"/>
              <w:rPr/>
            </w:pPr>
            <w:r>
              <w:rPr/>
              <w:t> </w:t>
            </w:r>
          </w:p>
        </w:tc>
      </w:tr>
      <w:tr>
        <w:trPr/>
        <w:tc>
          <w:tcPr>
            <w:tcW w:w="7781"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156,763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10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152,383</w:t>
            </w:r>
          </w:p>
        </w:tc>
        <w:tc>
          <w:tcPr>
            <w:tcW w:w="98" w:type="dxa"/>
            <w:tcBorders/>
            <w:shd w:fill="CCEEFF" w:val="clear"/>
            <w:vAlign w:val="center"/>
          </w:tcPr>
          <w:p>
            <w:pPr>
              <w:pStyle w:val="TableContents"/>
              <w:bidi w:val="0"/>
              <w:spacing w:before="0" w:after="283"/>
              <w:jc w:val="left"/>
              <w:rPr/>
            </w:pPr>
            <w:r>
              <w:rPr/>
              <w:t> </w:t>
            </w:r>
          </w:p>
        </w:tc>
      </w:tr>
      <w:tr>
        <w:trPr/>
        <w:tc>
          <w:tcPr>
            <w:tcW w:w="7781"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3,793</w:t>
            </w:r>
          </w:p>
        </w:tc>
        <w:tc>
          <w:tcPr>
            <w:tcW w:w="98" w:type="dxa"/>
            <w:tcBorders/>
            <w:shd w:fill="FFFFFF" w:val="clear"/>
            <w:vAlign w:val="center"/>
          </w:tcPr>
          <w:p>
            <w:pPr>
              <w:pStyle w:val="TableContents"/>
              <w:bidi w:val="0"/>
              <w:spacing w:before="0" w:after="283"/>
              <w:jc w:val="left"/>
              <w:rPr/>
            </w:pPr>
            <w:r>
              <w:rPr/>
              <w:t> </w:t>
            </w:r>
          </w:p>
        </w:tc>
      </w:tr>
      <w:tr>
        <w:trPr/>
        <w:tc>
          <w:tcPr>
            <w:tcW w:w="7781"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520,497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523,502</w:t>
            </w:r>
          </w:p>
        </w:tc>
        <w:tc>
          <w:tcPr>
            <w:tcW w:w="98" w:type="dxa"/>
            <w:tcBorders/>
            <w:shd w:fill="CCEEFF" w:val="clear"/>
            <w:vAlign w:val="center"/>
          </w:tcPr>
          <w:p>
            <w:pPr>
              <w:pStyle w:val="TableContents"/>
              <w:bidi w:val="0"/>
              <w:spacing w:before="0" w:after="283"/>
              <w:jc w:val="left"/>
              <w:rPr/>
            </w:pPr>
            <w:r>
              <w:rPr/>
              <w:t> </w:t>
            </w:r>
          </w:p>
        </w:tc>
      </w:tr>
      <w:tr>
        <w:trPr/>
        <w:tc>
          <w:tcPr>
            <w:tcW w:w="7781"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1,413,929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1,365,101</w:t>
            </w:r>
          </w:p>
        </w:tc>
        <w:tc>
          <w:tcPr>
            <w:tcW w:w="98" w:type="dxa"/>
            <w:tcBorders/>
            <w:shd w:fill="FFFFFF" w:val="clear"/>
            <w:vAlign w:val="center"/>
          </w:tcPr>
          <w:p>
            <w:pPr>
              <w:pStyle w:val="TableContents"/>
              <w:bidi w:val="0"/>
              <w:spacing w:before="0" w:after="283"/>
              <w:jc w:val="left"/>
              <w:rPr/>
            </w:pPr>
            <w:r>
              <w:rPr/>
              <w:t> </w:t>
            </w:r>
          </w:p>
        </w:tc>
      </w:tr>
      <w:tr>
        <w:trPr/>
        <w:tc>
          <w:tcPr>
            <w:tcW w:w="77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7781"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77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7781"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finance lease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w:t>
            </w:r>
          </w:p>
        </w:tc>
        <w:tc>
          <w:tcPr>
            <w:tcW w:w="98" w:type="dxa"/>
            <w:tcBorders/>
            <w:shd w:fill="FFFFFF" w:val="clear"/>
            <w:vAlign w:val="center"/>
          </w:tcPr>
          <w:p>
            <w:pPr>
              <w:pStyle w:val="TableContents"/>
              <w:bidi w:val="0"/>
              <w:spacing w:before="0" w:after="283"/>
              <w:jc w:val="left"/>
              <w:rPr/>
            </w:pPr>
            <w:r>
              <w:rPr/>
              <w:t> </w:t>
            </w:r>
          </w:p>
        </w:tc>
      </w:tr>
      <w:tr>
        <w:trPr/>
        <w:tc>
          <w:tcPr>
            <w:tcW w:w="7781"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104,405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10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89,268</w:t>
            </w:r>
          </w:p>
        </w:tc>
        <w:tc>
          <w:tcPr>
            <w:tcW w:w="98" w:type="dxa"/>
            <w:tcBorders/>
            <w:shd w:fill="CCEEFF" w:val="clear"/>
            <w:vAlign w:val="center"/>
          </w:tcPr>
          <w:p>
            <w:pPr>
              <w:pStyle w:val="TableContents"/>
              <w:bidi w:val="0"/>
              <w:spacing w:before="0" w:after="283"/>
              <w:jc w:val="left"/>
              <w:rPr/>
            </w:pPr>
            <w:r>
              <w:rPr/>
              <w:t> </w:t>
            </w:r>
          </w:p>
        </w:tc>
      </w:tr>
      <w:tr>
        <w:trPr/>
        <w:tc>
          <w:tcPr>
            <w:tcW w:w="7781"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insurance liability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10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16,933</w:t>
            </w:r>
          </w:p>
        </w:tc>
        <w:tc>
          <w:tcPr>
            <w:tcW w:w="98" w:type="dxa"/>
            <w:tcBorders/>
            <w:shd w:fill="FFFFFF" w:val="clear"/>
            <w:vAlign w:val="center"/>
          </w:tcPr>
          <w:p>
            <w:pPr>
              <w:pStyle w:val="TableContents"/>
              <w:bidi w:val="0"/>
              <w:spacing w:before="0" w:after="283"/>
              <w:jc w:val="left"/>
              <w:rPr/>
            </w:pPr>
            <w:r>
              <w:rPr/>
              <w:t> </w:t>
            </w:r>
          </w:p>
        </w:tc>
      </w:tr>
      <w:tr>
        <w:trPr/>
        <w:tc>
          <w:tcPr>
            <w:tcW w:w="7781"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10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10,063</w:t>
            </w:r>
          </w:p>
        </w:tc>
        <w:tc>
          <w:tcPr>
            <w:tcW w:w="98" w:type="dxa"/>
            <w:tcBorders/>
            <w:shd w:fill="CCEEFF" w:val="clear"/>
            <w:vAlign w:val="center"/>
          </w:tcPr>
          <w:p>
            <w:pPr>
              <w:pStyle w:val="TableContents"/>
              <w:bidi w:val="0"/>
              <w:spacing w:before="0" w:after="283"/>
              <w:jc w:val="left"/>
              <w:rPr/>
            </w:pPr>
            <w:r>
              <w:rPr/>
              <w:t> </w:t>
            </w:r>
          </w:p>
        </w:tc>
      </w:tr>
      <w:tr>
        <w:trPr/>
        <w:tc>
          <w:tcPr>
            <w:tcW w:w="7781"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operating lease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10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19,063</w:t>
            </w:r>
          </w:p>
        </w:tc>
        <w:tc>
          <w:tcPr>
            <w:tcW w:w="98" w:type="dxa"/>
            <w:tcBorders/>
            <w:shd w:fill="FFFFFF" w:val="clear"/>
            <w:vAlign w:val="center"/>
          </w:tcPr>
          <w:p>
            <w:pPr>
              <w:pStyle w:val="TableContents"/>
              <w:bidi w:val="0"/>
              <w:spacing w:before="0" w:after="283"/>
              <w:jc w:val="left"/>
              <w:rPr/>
            </w:pPr>
            <w:r>
              <w:rPr/>
              <w:t> </w:t>
            </w:r>
          </w:p>
        </w:tc>
      </w:tr>
      <w:tr>
        <w:trPr/>
        <w:tc>
          <w:tcPr>
            <w:tcW w:w="7781"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compensation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10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23,325</w:t>
            </w:r>
          </w:p>
        </w:tc>
        <w:tc>
          <w:tcPr>
            <w:tcW w:w="98" w:type="dxa"/>
            <w:tcBorders/>
            <w:shd w:fill="CCEEFF" w:val="clear"/>
            <w:vAlign w:val="center"/>
          </w:tcPr>
          <w:p>
            <w:pPr>
              <w:pStyle w:val="TableContents"/>
              <w:bidi w:val="0"/>
              <w:spacing w:before="0" w:after="283"/>
              <w:jc w:val="left"/>
              <w:rPr/>
            </w:pPr>
            <w:r>
              <w:rPr/>
              <w:t> </w:t>
            </w:r>
          </w:p>
        </w:tc>
      </w:tr>
      <w:tr>
        <w:trPr/>
        <w:tc>
          <w:tcPr>
            <w:tcW w:w="7781"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payable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15,178</w:t>
            </w:r>
          </w:p>
        </w:tc>
        <w:tc>
          <w:tcPr>
            <w:tcW w:w="98" w:type="dxa"/>
            <w:tcBorders/>
            <w:shd w:fill="FFFFFF" w:val="clear"/>
            <w:vAlign w:val="center"/>
          </w:tcPr>
          <w:p>
            <w:pPr>
              <w:pStyle w:val="TableContents"/>
              <w:bidi w:val="0"/>
              <w:spacing w:before="0" w:after="283"/>
              <w:jc w:val="left"/>
              <w:rPr/>
            </w:pPr>
            <w:r>
              <w:rPr/>
              <w:t> </w:t>
            </w:r>
          </w:p>
        </w:tc>
      </w:tr>
      <w:tr>
        <w:trPr/>
        <w:tc>
          <w:tcPr>
            <w:tcW w:w="7781"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204,822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10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174,073</w:t>
            </w:r>
          </w:p>
        </w:tc>
        <w:tc>
          <w:tcPr>
            <w:tcW w:w="98" w:type="dxa"/>
            <w:tcBorders/>
            <w:shd w:fill="CCEEFF" w:val="clear"/>
            <w:vAlign w:val="center"/>
          </w:tcPr>
          <w:p>
            <w:pPr>
              <w:pStyle w:val="TableContents"/>
              <w:bidi w:val="0"/>
              <w:spacing w:before="0" w:after="283"/>
              <w:jc w:val="left"/>
              <w:rPr/>
            </w:pPr>
            <w:r>
              <w:rPr/>
              <w:t> </w:t>
            </w:r>
          </w:p>
        </w:tc>
      </w:tr>
      <w:tr>
        <w:trPr/>
        <w:tc>
          <w:tcPr>
            <w:tcW w:w="77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77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10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8" w:type="dxa"/>
            <w:tcBorders/>
            <w:shd w:fill="CCEEFF" w:val="clear"/>
            <w:vAlign w:val="center"/>
          </w:tcPr>
          <w:p>
            <w:pPr>
              <w:pStyle w:val="TableContents"/>
              <w:bidi w:val="0"/>
              <w:spacing w:before="0" w:after="283"/>
              <w:jc w:val="left"/>
              <w:rPr/>
            </w:pPr>
            <w:r>
              <w:rPr/>
              <w:t> </w:t>
            </w:r>
          </w:p>
        </w:tc>
      </w:tr>
      <w:tr>
        <w:trPr/>
        <w:tc>
          <w:tcPr>
            <w:tcW w:w="778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finance lease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10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w:t>
            </w:r>
          </w:p>
        </w:tc>
        <w:tc>
          <w:tcPr>
            <w:tcW w:w="98" w:type="dxa"/>
            <w:tcBorders/>
            <w:shd w:fill="FFFFFF" w:val="clear"/>
            <w:vAlign w:val="center"/>
          </w:tcPr>
          <w:p>
            <w:pPr>
              <w:pStyle w:val="TableContents"/>
              <w:bidi w:val="0"/>
              <w:spacing w:before="0" w:after="283"/>
              <w:jc w:val="left"/>
              <w:rPr/>
            </w:pPr>
            <w:r>
              <w:rPr/>
              <w:t> </w:t>
            </w:r>
          </w:p>
        </w:tc>
      </w:tr>
      <w:tr>
        <w:trPr/>
        <w:tc>
          <w:tcPr>
            <w:tcW w:w="77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operating lease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143,975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10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140,751</w:t>
            </w:r>
          </w:p>
        </w:tc>
        <w:tc>
          <w:tcPr>
            <w:tcW w:w="98" w:type="dxa"/>
            <w:tcBorders/>
            <w:shd w:fill="CCEEFF" w:val="clear"/>
            <w:vAlign w:val="center"/>
          </w:tcPr>
          <w:p>
            <w:pPr>
              <w:pStyle w:val="TableContents"/>
              <w:bidi w:val="0"/>
              <w:spacing w:before="0" w:after="283"/>
              <w:jc w:val="left"/>
              <w:rPr/>
            </w:pPr>
            <w:r>
              <w:rPr/>
              <w:t> </w:t>
            </w:r>
          </w:p>
        </w:tc>
      </w:tr>
      <w:tr>
        <w:trPr/>
        <w:tc>
          <w:tcPr>
            <w:tcW w:w="778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87,908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10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87,824</w:t>
            </w:r>
          </w:p>
        </w:tc>
        <w:tc>
          <w:tcPr>
            <w:tcW w:w="98" w:type="dxa"/>
            <w:tcBorders/>
            <w:shd w:fill="FFFFFF" w:val="clear"/>
            <w:vAlign w:val="center"/>
          </w:tcPr>
          <w:p>
            <w:pPr>
              <w:pStyle w:val="TableContents"/>
              <w:bidi w:val="0"/>
              <w:spacing w:before="0" w:after="283"/>
              <w:jc w:val="left"/>
              <w:rPr/>
            </w:pPr>
            <w:r>
              <w:rPr/>
              <w:t> </w:t>
            </w:r>
          </w:p>
        </w:tc>
      </w:tr>
      <w:tr>
        <w:trPr/>
        <w:tc>
          <w:tcPr>
            <w:tcW w:w="77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long-term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10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5,038</w:t>
            </w:r>
          </w:p>
        </w:tc>
        <w:tc>
          <w:tcPr>
            <w:tcW w:w="98" w:type="dxa"/>
            <w:tcBorders/>
            <w:shd w:fill="CCEEFF" w:val="clear"/>
            <w:vAlign w:val="center"/>
          </w:tcPr>
          <w:p>
            <w:pPr>
              <w:pStyle w:val="TableContents"/>
              <w:bidi w:val="0"/>
              <w:spacing w:before="0" w:after="283"/>
              <w:jc w:val="left"/>
              <w:rPr/>
            </w:pPr>
            <w:r>
              <w:rPr/>
              <w:t> </w:t>
            </w:r>
          </w:p>
        </w:tc>
      </w:tr>
      <w:tr>
        <w:trPr/>
        <w:tc>
          <w:tcPr>
            <w:tcW w:w="77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7781"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778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stock, $1 par value; authorized 10,000,000 shares; none issued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10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8" w:type="dxa"/>
            <w:tcBorders/>
            <w:shd w:fill="FFFFFF" w:val="clear"/>
            <w:vAlign w:val="center"/>
          </w:tcPr>
          <w:p>
            <w:pPr>
              <w:pStyle w:val="TableContents"/>
              <w:bidi w:val="0"/>
              <w:spacing w:before="0" w:after="283"/>
              <w:jc w:val="left"/>
              <w:rPr/>
            </w:pPr>
            <w:r>
              <w:rPr/>
              <w:t> </w:t>
            </w:r>
          </w:p>
        </w:tc>
      </w:tr>
      <w:tr>
        <w:trPr/>
        <w:tc>
          <w:tcPr>
            <w:tcW w:w="77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no par value; authorized, 50,000,000 shares; issued and outstanding 19,455,000 and 19,460,000 respectively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139,200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10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136,516</w:t>
            </w:r>
          </w:p>
        </w:tc>
        <w:tc>
          <w:tcPr>
            <w:tcW w:w="98" w:type="dxa"/>
            <w:tcBorders/>
            <w:shd w:fill="CCEEFF" w:val="clear"/>
            <w:vAlign w:val="center"/>
          </w:tcPr>
          <w:p>
            <w:pPr>
              <w:pStyle w:val="TableContents"/>
              <w:bidi w:val="0"/>
              <w:spacing w:before="0" w:after="283"/>
              <w:jc w:val="left"/>
              <w:rPr/>
            </w:pPr>
            <w:r>
              <w:rPr/>
              <w:t> </w:t>
            </w:r>
          </w:p>
        </w:tc>
      </w:tr>
      <w:tr>
        <w:trPr/>
        <w:tc>
          <w:tcPr>
            <w:tcW w:w="778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loss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(13,670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10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(15,299</w:t>
            </w:r>
          </w:p>
        </w:tc>
        <w:tc>
          <w:tcPr>
            <w:tcW w:w="9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7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Retained Earnings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844,395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835,753</w:t>
            </w:r>
          </w:p>
        </w:tc>
        <w:tc>
          <w:tcPr>
            <w:tcW w:w="98" w:type="dxa"/>
            <w:tcBorders/>
            <w:shd w:fill="CCEEFF" w:val="clear"/>
            <w:vAlign w:val="center"/>
          </w:tcPr>
          <w:p>
            <w:pPr>
              <w:pStyle w:val="TableContents"/>
              <w:bidi w:val="0"/>
              <w:spacing w:before="0" w:after="283"/>
              <w:jc w:val="left"/>
              <w:rPr/>
            </w:pPr>
            <w:r>
              <w:rPr/>
              <w:t> </w:t>
            </w:r>
          </w:p>
        </w:tc>
      </w:tr>
      <w:tr>
        <w:trPr/>
        <w:tc>
          <w:tcPr>
            <w:tcW w:w="7781"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969,925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956,970</w:t>
            </w:r>
          </w:p>
        </w:tc>
        <w:tc>
          <w:tcPr>
            <w:tcW w:w="98" w:type="dxa"/>
            <w:tcBorders/>
            <w:shd w:fill="FFFFFF" w:val="clear"/>
            <w:vAlign w:val="center"/>
          </w:tcPr>
          <w:p>
            <w:pPr>
              <w:pStyle w:val="TableContents"/>
              <w:bidi w:val="0"/>
              <w:spacing w:before="0" w:after="283"/>
              <w:jc w:val="left"/>
              <w:rPr/>
            </w:pPr>
            <w:r>
              <w:rPr/>
              <w:t> </w:t>
            </w:r>
          </w:p>
        </w:tc>
      </w:tr>
      <w:tr>
        <w:trPr/>
        <w:tc>
          <w:tcPr>
            <w:tcW w:w="7781"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Liabilities and Stockholders' Equity</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1,413,929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1,365,101</w:t>
            </w:r>
          </w:p>
        </w:tc>
        <w:tc>
          <w:tcPr>
            <w:tcW w:w="9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The accompanying notes are an integral part of these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J &amp; J SNACK FOODS CORP. AND SUBSIDIARIES</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CONSOLIDATED STATEMENTS OF EARNINGS</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(Unaudited)</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(in thousands, except per share amounts)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65"/>
        <w:gridCol w:w="60"/>
        <w:gridCol w:w="125"/>
        <w:gridCol w:w="695"/>
        <w:gridCol w:w="80"/>
        <w:gridCol w:w="60"/>
        <w:gridCol w:w="125"/>
        <w:gridCol w:w="695"/>
        <w:gridCol w:w="80"/>
        <w:gridCol w:w="60"/>
        <w:gridCol w:w="125"/>
        <w:gridCol w:w="845"/>
        <w:gridCol w:w="80"/>
        <w:gridCol w:w="60"/>
        <w:gridCol w:w="125"/>
        <w:gridCol w:w="845"/>
        <w:gridCol w:w="80"/>
      </w:tblGrid>
      <w:tr>
        <w:trPr/>
        <w:tc>
          <w:tcPr>
            <w:tcW w:w="6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8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tc>
        <w:tc>
          <w:tcPr>
            <w:tcW w:w="80" w:type="dxa"/>
            <w:tcBorders/>
            <w:vAlign w:val="center"/>
          </w:tcPr>
          <w:p>
            <w:pPr>
              <w:pStyle w:val="TableContents"/>
              <w:bidi w:val="0"/>
              <w:spacing w:before="0" w:after="283"/>
              <w:jc w:val="left"/>
              <w:rPr/>
            </w:pPr>
            <w:r>
              <w:rPr/>
              <w:t> </w:t>
            </w:r>
          </w:p>
        </w:tc>
      </w:tr>
      <w:tr>
        <w:trPr/>
        <w:tc>
          <w:tcPr>
            <w:tcW w:w="6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29,</w:t>
            </w:r>
          </w:p>
        </w:tc>
        <w:tc>
          <w:tcPr>
            <w:tcW w:w="80" w:type="dxa"/>
            <w:tcBorders/>
            <w:vAlign w:val="center"/>
          </w:tcPr>
          <w:p>
            <w:pPr>
              <w:pStyle w:val="TableContents"/>
              <w:bidi w:val="0"/>
              <w:spacing w:before="0" w:after="283"/>
              <w:jc w:val="left"/>
              <w:rPr/>
            </w:pPr>
            <w:r>
              <w:rPr/>
              <w:t> </w:t>
            </w:r>
          </w:p>
        </w:tc>
      </w:tr>
      <w:tr>
        <w:trPr/>
        <w:tc>
          <w:tcPr>
            <w:tcW w:w="6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r>
      <w:tr>
        <w:trPr/>
        <w:tc>
          <w:tcPr>
            <w:tcW w:w="6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60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454,293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439,957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1,172,990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1,147,999</w:t>
            </w:r>
          </w:p>
        </w:tc>
        <w:tc>
          <w:tcPr>
            <w:tcW w:w="80" w:type="dxa"/>
            <w:tcBorders/>
            <w:shd w:fill="CCEEFF" w:val="clear"/>
            <w:vAlign w:val="center"/>
          </w:tcPr>
          <w:p>
            <w:pPr>
              <w:pStyle w:val="TableContents"/>
              <w:bidi w:val="0"/>
              <w:spacing w:before="0" w:after="283"/>
              <w:jc w:val="left"/>
              <w:rPr/>
            </w:pPr>
            <w:r>
              <w:rPr/>
              <w:t> </w:t>
            </w:r>
          </w:p>
        </w:tc>
      </w:tr>
      <w:tr>
        <w:trPr/>
        <w:tc>
          <w:tcPr>
            <w:tcW w:w="60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304,248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292,191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833,341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797,405</w:t>
            </w:r>
          </w:p>
        </w:tc>
        <w:tc>
          <w:tcPr>
            <w:tcW w:w="80" w:type="dxa"/>
            <w:tcBorders/>
            <w:shd w:fill="FFFFFF" w:val="clear"/>
            <w:vAlign w:val="center"/>
          </w:tcPr>
          <w:p>
            <w:pPr>
              <w:pStyle w:val="TableContents"/>
              <w:bidi w:val="0"/>
              <w:spacing w:before="0" w:after="283"/>
              <w:jc w:val="left"/>
              <w:rPr/>
            </w:pPr>
            <w:r>
              <w:rPr/>
              <w:t> </w:t>
            </w:r>
          </w:p>
        </w:tc>
      </w:tr>
      <w:tr>
        <w:trPr/>
        <w:tc>
          <w:tcPr>
            <w:tcW w:w="60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147,766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339,649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350,594</w:t>
            </w:r>
          </w:p>
        </w:tc>
        <w:tc>
          <w:tcPr>
            <w:tcW w:w="80" w:type="dxa"/>
            <w:tcBorders/>
            <w:shd w:fill="CCEEFF" w:val="clear"/>
            <w:vAlign w:val="center"/>
          </w:tcPr>
          <w:p>
            <w:pPr>
              <w:pStyle w:val="TableContents"/>
              <w:bidi w:val="0"/>
              <w:spacing w:before="0" w:after="283"/>
              <w:jc w:val="left"/>
              <w:rPr/>
            </w:pPr>
            <w:r>
              <w:rPr/>
              <w:t> </w:t>
            </w:r>
          </w:p>
        </w:tc>
      </w:tr>
      <w:tr>
        <w:trPr/>
        <w:tc>
          <w:tcPr>
            <w:tcW w:w="6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0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0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Marketing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87,720</w:t>
            </w:r>
          </w:p>
        </w:tc>
        <w:tc>
          <w:tcPr>
            <w:tcW w:w="80" w:type="dxa"/>
            <w:tcBorders/>
            <w:shd w:fill="FFFFFF" w:val="clear"/>
            <w:vAlign w:val="center"/>
          </w:tcPr>
          <w:p>
            <w:pPr>
              <w:pStyle w:val="TableContents"/>
              <w:bidi w:val="0"/>
              <w:spacing w:before="0" w:after="283"/>
              <w:jc w:val="left"/>
              <w:rPr/>
            </w:pPr>
            <w:r>
              <w:rPr/>
              <w:t> </w:t>
            </w:r>
          </w:p>
        </w:tc>
      </w:tr>
      <w:tr>
        <w:trPr/>
        <w:tc>
          <w:tcPr>
            <w:tcW w:w="60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44,685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126,128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129,626</w:t>
            </w:r>
          </w:p>
        </w:tc>
        <w:tc>
          <w:tcPr>
            <w:tcW w:w="80" w:type="dxa"/>
            <w:tcBorders/>
            <w:shd w:fill="CCEEFF" w:val="clear"/>
            <w:vAlign w:val="center"/>
          </w:tcPr>
          <w:p>
            <w:pPr>
              <w:pStyle w:val="TableContents"/>
              <w:bidi w:val="0"/>
              <w:spacing w:before="0" w:after="283"/>
              <w:jc w:val="left"/>
              <w:rPr/>
            </w:pPr>
            <w:r>
              <w:rPr/>
              <w:t> </w:t>
            </w:r>
          </w:p>
        </w:tc>
      </w:tr>
      <w:tr>
        <w:trPr/>
        <w:tc>
          <w:tcPr>
            <w:tcW w:w="60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Administrative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56,600</w:t>
            </w:r>
          </w:p>
        </w:tc>
        <w:tc>
          <w:tcPr>
            <w:tcW w:w="80" w:type="dxa"/>
            <w:tcBorders/>
            <w:shd w:fill="FFFFFF" w:val="clear"/>
            <w:vAlign w:val="center"/>
          </w:tcPr>
          <w:p>
            <w:pPr>
              <w:pStyle w:val="TableContents"/>
              <w:bidi w:val="0"/>
              <w:spacing w:before="0" w:after="283"/>
              <w:jc w:val="left"/>
              <w:rPr/>
            </w:pPr>
            <w:r>
              <w:rPr/>
              <w:t> </w:t>
            </w:r>
          </w:p>
        </w:tc>
      </w:tr>
      <w:tr>
        <w:trPr/>
        <w:tc>
          <w:tcPr>
            <w:tcW w:w="60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 impairment charges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60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insurance proceeds received for damage to property, plant,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(10,622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(10,622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60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general expense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06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89,448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97,650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266,790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272,891</w:t>
            </w:r>
          </w:p>
        </w:tc>
        <w:tc>
          <w:tcPr>
            <w:tcW w:w="80" w:type="dxa"/>
            <w:tcBorders/>
            <w:shd w:fill="FFFFFF" w:val="clear"/>
            <w:vAlign w:val="center"/>
          </w:tcPr>
          <w:p>
            <w:pPr>
              <w:pStyle w:val="TableContents"/>
              <w:bidi w:val="0"/>
              <w:spacing w:before="0" w:after="283"/>
              <w:jc w:val="left"/>
              <w:rPr/>
            </w:pPr>
            <w:r>
              <w:rPr/>
              <w:t> </w:t>
            </w:r>
          </w:p>
        </w:tc>
      </w:tr>
      <w:tr>
        <w:trPr/>
        <w:tc>
          <w:tcPr>
            <w:tcW w:w="60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0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50,116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72,859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77,703</w:t>
            </w:r>
          </w:p>
        </w:tc>
        <w:tc>
          <w:tcPr>
            <w:tcW w:w="80" w:type="dxa"/>
            <w:tcBorders/>
            <w:shd w:fill="FFFFFF" w:val="clear"/>
            <w:vAlign w:val="center"/>
          </w:tcPr>
          <w:p>
            <w:pPr>
              <w:pStyle w:val="TableContents"/>
              <w:bidi w:val="0"/>
              <w:spacing w:before="0" w:after="283"/>
              <w:jc w:val="left"/>
              <w:rPr/>
            </w:pPr>
            <w:r>
              <w:rPr/>
              <w:t> </w:t>
            </w:r>
          </w:p>
        </w:tc>
      </w:tr>
      <w:tr>
        <w:trPr/>
        <w:tc>
          <w:tcPr>
            <w:tcW w:w="60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0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0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2,265</w:t>
            </w:r>
          </w:p>
        </w:tc>
        <w:tc>
          <w:tcPr>
            <w:tcW w:w="80" w:type="dxa"/>
            <w:tcBorders/>
            <w:shd w:fill="CCEEFF" w:val="clear"/>
            <w:vAlign w:val="center"/>
          </w:tcPr>
          <w:p>
            <w:pPr>
              <w:pStyle w:val="TableContents"/>
              <w:bidi w:val="0"/>
              <w:spacing w:before="0" w:after="283"/>
              <w:jc w:val="left"/>
              <w:rPr/>
            </w:pPr>
            <w:r>
              <w:rPr/>
              <w:t> </w:t>
            </w:r>
          </w:p>
        </w:tc>
      </w:tr>
      <w:tr>
        <w:trPr/>
        <w:tc>
          <w:tcPr>
            <w:tcW w:w="60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0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0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before income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60,778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74,469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78,436</w:t>
            </w:r>
          </w:p>
        </w:tc>
        <w:tc>
          <w:tcPr>
            <w:tcW w:w="80" w:type="dxa"/>
            <w:tcBorders/>
            <w:shd w:fill="FFFFFF" w:val="clear"/>
            <w:vAlign w:val="center"/>
          </w:tcPr>
          <w:p>
            <w:pPr>
              <w:pStyle w:val="TableContents"/>
              <w:bidi w:val="0"/>
              <w:spacing w:before="0" w:after="283"/>
              <w:jc w:val="left"/>
              <w:rPr/>
            </w:pPr>
            <w:r>
              <w:rPr/>
              <w:t> </w:t>
            </w:r>
          </w:p>
        </w:tc>
      </w:tr>
      <w:tr>
        <w:trPr/>
        <w:tc>
          <w:tcPr>
            <w:tcW w:w="60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0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21,526</w:t>
            </w:r>
          </w:p>
        </w:tc>
        <w:tc>
          <w:tcPr>
            <w:tcW w:w="80" w:type="dxa"/>
            <w:tcBorders/>
            <w:shd w:fill="FFFFFF" w:val="clear"/>
            <w:vAlign w:val="center"/>
          </w:tcPr>
          <w:p>
            <w:pPr>
              <w:pStyle w:val="TableContents"/>
              <w:bidi w:val="0"/>
              <w:spacing w:before="0" w:after="283"/>
              <w:jc w:val="left"/>
              <w:rPr/>
            </w:pPr>
            <w:r>
              <w:rPr/>
              <w:t> </w:t>
            </w:r>
          </w:p>
        </w:tc>
      </w:tr>
      <w:tr>
        <w:trPr/>
        <w:tc>
          <w:tcPr>
            <w:tcW w:w="60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0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54,214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56,910</w:t>
            </w:r>
          </w:p>
        </w:tc>
        <w:tc>
          <w:tcPr>
            <w:tcW w:w="80" w:type="dxa"/>
            <w:tcBorders/>
            <w:shd w:fill="FFFFFF" w:val="clear"/>
            <w:vAlign w:val="center"/>
          </w:tcPr>
          <w:p>
            <w:pPr>
              <w:pStyle w:val="TableContents"/>
              <w:bidi w:val="0"/>
              <w:spacing w:before="0" w:after="283"/>
              <w:jc w:val="left"/>
              <w:rPr/>
            </w:pPr>
            <w:r>
              <w:rPr/>
              <w:t> </w:t>
            </w:r>
          </w:p>
        </w:tc>
      </w:tr>
      <w:tr>
        <w:trPr/>
        <w:tc>
          <w:tcPr>
            <w:tcW w:w="60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0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per diluted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w:t>
            </w:r>
          </w:p>
        </w:tc>
        <w:tc>
          <w:tcPr>
            <w:tcW w:w="80" w:type="dxa"/>
            <w:tcBorders/>
            <w:shd w:fill="FFFFFF" w:val="clear"/>
            <w:vAlign w:val="center"/>
          </w:tcPr>
          <w:p>
            <w:pPr>
              <w:pStyle w:val="TableContents"/>
              <w:bidi w:val="0"/>
              <w:spacing w:before="0" w:after="283"/>
              <w:jc w:val="left"/>
              <w:rPr/>
            </w:pPr>
            <w:r>
              <w:rPr/>
              <w:t> </w:t>
            </w:r>
          </w:p>
        </w:tc>
      </w:tr>
      <w:tr>
        <w:trPr/>
        <w:tc>
          <w:tcPr>
            <w:tcW w:w="60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0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number of diluted shares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19,423</w:t>
            </w:r>
          </w:p>
        </w:tc>
        <w:tc>
          <w:tcPr>
            <w:tcW w:w="80" w:type="dxa"/>
            <w:tcBorders/>
            <w:shd w:fill="FFFFFF" w:val="clear"/>
            <w:vAlign w:val="center"/>
          </w:tcPr>
          <w:p>
            <w:pPr>
              <w:pStyle w:val="TableContents"/>
              <w:bidi w:val="0"/>
              <w:spacing w:before="0" w:after="283"/>
              <w:jc w:val="left"/>
              <w:rPr/>
            </w:pPr>
            <w:r>
              <w:rPr/>
              <w:t> </w:t>
            </w:r>
          </w:p>
        </w:tc>
      </w:tr>
      <w:tr>
        <w:trPr/>
        <w:tc>
          <w:tcPr>
            <w:tcW w:w="60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0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per basic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w:t>
            </w:r>
          </w:p>
        </w:tc>
        <w:tc>
          <w:tcPr>
            <w:tcW w:w="80" w:type="dxa"/>
            <w:tcBorders/>
            <w:shd w:fill="FFFFFF" w:val="clear"/>
            <w:vAlign w:val="center"/>
          </w:tcPr>
          <w:p>
            <w:pPr>
              <w:pStyle w:val="TableContents"/>
              <w:bidi w:val="0"/>
              <w:spacing w:before="0" w:after="283"/>
              <w:jc w:val="left"/>
              <w:rPr/>
            </w:pPr>
            <w:r>
              <w:rPr/>
              <w:t> </w:t>
            </w:r>
          </w:p>
        </w:tc>
      </w:tr>
      <w:tr>
        <w:trPr/>
        <w:tc>
          <w:tcPr>
            <w:tcW w:w="60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0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number of basic shares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19,373</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The accompanying notes are an integral part of these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b/>
          <w:sz w:val="20"/>
        </w:rPr>
        <w:t>J&amp;J SNACK FOODS CORP. AND SUBSIDIARIES</w:t>
      </w:r>
      <w:r>
        <w:rPr>
          <w:rFonts w:ascii="Times New Roman" w:hAnsi="Times New Roman"/>
          <w:sz w:val="20"/>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CONSOLIDATED STATEMENTS OF COMPREHENSIVE INCOME</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(Unaudited)</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(in thousands)</w:t>
      </w:r>
    </w:p>
    <w:p>
      <w:pPr>
        <w:pStyle w:val="TextBody"/>
        <w:bidi w:val="0"/>
        <w:spacing w:before="0" w:after="0"/>
        <w:ind w:left="0" w:right="0" w:hanging="0"/>
        <w:jc w:val="left"/>
        <w:rPr/>
      </w:pPr>
      <w:r>
        <w:rPr/>
        <w:t> </w:t>
      </w:r>
    </w:p>
    <w:tbl>
      <w:tblPr>
        <w:tblW w:w="7307" w:type="dxa"/>
        <w:jc w:val="left"/>
        <w:tblInd w:w="0" w:type="dxa"/>
        <w:tblLayout w:type="fixed"/>
        <w:tblCellMar>
          <w:top w:w="0" w:type="dxa"/>
          <w:left w:w="0" w:type="dxa"/>
          <w:bottom w:w="0" w:type="dxa"/>
          <w:right w:w="0" w:type="dxa"/>
        </w:tblCellMar>
      </w:tblPr>
      <w:tblGrid>
        <w:gridCol w:w="3695"/>
        <w:gridCol w:w="60"/>
        <w:gridCol w:w="139"/>
        <w:gridCol w:w="658"/>
        <w:gridCol w:w="66"/>
        <w:gridCol w:w="66"/>
        <w:gridCol w:w="139"/>
        <w:gridCol w:w="658"/>
        <w:gridCol w:w="80"/>
        <w:gridCol w:w="60"/>
        <w:gridCol w:w="129"/>
        <w:gridCol w:w="612"/>
        <w:gridCol w:w="62"/>
        <w:gridCol w:w="62"/>
        <w:gridCol w:w="129"/>
        <w:gridCol w:w="612"/>
        <w:gridCol w:w="80"/>
      </w:tblGrid>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2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0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tc>
        <w:tc>
          <w:tcPr>
            <w:tcW w:w="8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ind w:left="0" w:right="0" w:hanging="0"/>
              <w:jc w:val="left"/>
              <w:rPr/>
            </w:pPr>
            <w:r>
              <w:rPr/>
              <w:t> </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ind w:left="0" w:right="0" w:hanging="0"/>
              <w:jc w:val="left"/>
              <w:rPr/>
            </w:pPr>
            <w:r>
              <w:rPr/>
              <w:t> </w:t>
            </w:r>
          </w:p>
        </w:tc>
        <w:tc>
          <w:tcPr>
            <w:tcW w:w="74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29,</w:t>
            </w:r>
          </w:p>
        </w:tc>
        <w:tc>
          <w:tcPr>
            <w:tcW w:w="8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ind w:left="0" w:right="0" w:hanging="0"/>
              <w:jc w:val="left"/>
              <w:rPr/>
            </w:pPr>
            <w:r>
              <w:rPr/>
              <w:t> </w:t>
            </w:r>
          </w:p>
        </w:tc>
        <w:tc>
          <w:tcPr>
            <w:tcW w:w="7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658"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658"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44,247</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54,214</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56,910</w:t>
            </w:r>
          </w:p>
        </w:tc>
        <w:tc>
          <w:tcPr>
            <w:tcW w:w="80"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adjustments</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3,774</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(4,546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1,629</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comprehensive income, net of tax</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3,774</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(4,546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1,629</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48,021</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55,843</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54,647</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The accompanying notes are an integral part of these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J &amp; J SNACK FOODS CORP. AND SUBSIDIARIES</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CONSOLIDATED STATEMENTS OF CHANGES IN STOCKHOLDERS' EQUITY</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(Unaudited) (in thousands)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100"/>
        <w:gridCol w:w="60"/>
        <w:gridCol w:w="60"/>
        <w:gridCol w:w="590"/>
        <w:gridCol w:w="80"/>
        <w:gridCol w:w="60"/>
        <w:gridCol w:w="125"/>
        <w:gridCol w:w="695"/>
        <w:gridCol w:w="80"/>
        <w:gridCol w:w="60"/>
        <w:gridCol w:w="208"/>
        <w:gridCol w:w="1087"/>
        <w:gridCol w:w="80"/>
        <w:gridCol w:w="60"/>
        <w:gridCol w:w="125"/>
        <w:gridCol w:w="695"/>
        <w:gridCol w:w="80"/>
        <w:gridCol w:w="60"/>
        <w:gridCol w:w="125"/>
        <w:gridCol w:w="695"/>
        <w:gridCol w:w="80"/>
      </w:tblGrid>
      <w:tr>
        <w:trPr/>
        <w:tc>
          <w:tcPr>
            <w:tcW w:w="5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5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5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1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Common stock</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Retained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5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Amount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earnings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80" w:type="dxa"/>
            <w:tcBorders/>
            <w:vAlign w:val="center"/>
          </w:tcPr>
          <w:p>
            <w:pPr>
              <w:pStyle w:val="TableContents"/>
              <w:bidi w:val="0"/>
              <w:spacing w:before="0" w:after="283"/>
              <w:jc w:val="left"/>
              <w:rPr/>
            </w:pPr>
            <w:r>
              <w:rPr/>
              <w:t> </w:t>
            </w:r>
          </w:p>
        </w:tc>
      </w:tr>
      <w:tr>
        <w:trPr/>
        <w:tc>
          <w:tcPr>
            <w:tcW w:w="5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5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September 28,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136,516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(15,299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835,753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956,970</w:t>
            </w:r>
          </w:p>
        </w:tc>
        <w:tc>
          <w:tcPr>
            <w:tcW w:w="80" w:type="dxa"/>
            <w:tcBorders/>
            <w:shd w:fill="CCEEFF" w:val="clear"/>
            <w:vAlign w:val="center"/>
          </w:tcPr>
          <w:p>
            <w:pPr>
              <w:pStyle w:val="TableContents"/>
              <w:bidi w:val="0"/>
              <w:spacing w:before="0" w:after="283"/>
              <w:jc w:val="left"/>
              <w:rPr/>
            </w:pPr>
            <w:r>
              <w:rPr/>
              <w:t> </w:t>
            </w:r>
          </w:p>
        </w:tc>
      </w:tr>
      <w:tr>
        <w:trPr/>
        <w:tc>
          <w:tcPr>
            <w:tcW w:w="5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1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issued upon exercise of stock options, net of shares withheld for taxes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1,924</w:t>
            </w:r>
          </w:p>
        </w:tc>
        <w:tc>
          <w:tcPr>
            <w:tcW w:w="80" w:type="dxa"/>
            <w:tcBorders/>
            <w:shd w:fill="CCEEFF" w:val="clear"/>
            <w:vAlign w:val="center"/>
          </w:tcPr>
          <w:p>
            <w:pPr>
              <w:pStyle w:val="TableContents"/>
              <w:bidi w:val="0"/>
              <w:spacing w:before="0" w:after="283"/>
              <w:jc w:val="left"/>
              <w:rPr/>
            </w:pPr>
            <w:r>
              <w:rPr/>
              <w:t> </w:t>
            </w:r>
          </w:p>
        </w:tc>
      </w:tr>
      <w:tr>
        <w:trPr/>
        <w:tc>
          <w:tcPr>
            <w:tcW w:w="51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issued upon vesting of service share units, net of shares withheld for taxes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declared ($0.78 per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(15,193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(15,193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1,125</w:t>
            </w:r>
          </w:p>
        </w:tc>
        <w:tc>
          <w:tcPr>
            <w:tcW w:w="80" w:type="dxa"/>
            <w:tcBorders/>
            <w:shd w:fill="CCEEFF" w:val="clear"/>
            <w:vAlign w:val="center"/>
          </w:tcPr>
          <w:p>
            <w:pPr>
              <w:pStyle w:val="TableContents"/>
              <w:bidi w:val="0"/>
              <w:spacing w:before="0" w:after="283"/>
              <w:jc w:val="left"/>
              <w:rPr/>
            </w:pPr>
            <w:r>
              <w:rPr/>
              <w:t> </w:t>
            </w:r>
          </w:p>
        </w:tc>
      </w:tr>
      <w:tr>
        <w:trPr/>
        <w:tc>
          <w:tcPr>
            <w:tcW w:w="51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5,143</w:t>
            </w:r>
          </w:p>
        </w:tc>
        <w:tc>
          <w:tcPr>
            <w:tcW w:w="80" w:type="dxa"/>
            <w:tcBorders/>
            <w:shd w:fill="FFFFFF" w:val="clear"/>
            <w:vAlign w:val="center"/>
          </w:tcPr>
          <w:p>
            <w:pPr>
              <w:pStyle w:val="TableContents"/>
              <w:bidi w:val="0"/>
              <w:spacing w:before="0" w:after="283"/>
              <w:jc w:val="left"/>
              <w:rPr/>
            </w:pPr>
            <w:r>
              <w:rPr/>
              <w:t> </w:t>
            </w:r>
          </w:p>
        </w:tc>
      </w:tr>
      <w:tr>
        <w:trPr/>
        <w:tc>
          <w:tcPr>
            <w:tcW w:w="5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December 28,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139,013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(17,876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825,703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946,840</w:t>
            </w:r>
          </w:p>
        </w:tc>
        <w:tc>
          <w:tcPr>
            <w:tcW w:w="80" w:type="dxa"/>
            <w:tcBorders/>
            <w:shd w:fill="CCEEFF" w:val="clear"/>
            <w:vAlign w:val="center"/>
          </w:tcPr>
          <w:p>
            <w:pPr>
              <w:pStyle w:val="TableContents"/>
              <w:bidi w:val="0"/>
              <w:spacing w:before="0" w:after="283"/>
              <w:jc w:val="left"/>
              <w:rPr/>
            </w:pPr>
            <w:r>
              <w:rPr/>
              <w:t> </w:t>
            </w:r>
          </w:p>
        </w:tc>
      </w:tr>
      <w:tr>
        <w:trPr/>
        <w:tc>
          <w:tcPr>
            <w:tcW w:w="5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1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issued upon exercise of stock options, net of shares withheld for taxes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w:t>
            </w:r>
          </w:p>
        </w:tc>
        <w:tc>
          <w:tcPr>
            <w:tcW w:w="80" w:type="dxa"/>
            <w:tcBorders/>
            <w:shd w:fill="CCEEFF" w:val="clear"/>
            <w:vAlign w:val="center"/>
          </w:tcPr>
          <w:p>
            <w:pPr>
              <w:pStyle w:val="TableContents"/>
              <w:bidi w:val="0"/>
              <w:spacing w:before="0" w:after="283"/>
              <w:jc w:val="left"/>
              <w:rPr/>
            </w:pPr>
            <w:r>
              <w:rPr/>
              <w:t> </w:t>
            </w:r>
          </w:p>
        </w:tc>
      </w:tr>
      <w:tr>
        <w:trPr/>
        <w:tc>
          <w:tcPr>
            <w:tcW w:w="51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issued for employee stock purchase plan, net of shares withheld for taxes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1,327</w:t>
            </w:r>
          </w:p>
        </w:tc>
        <w:tc>
          <w:tcPr>
            <w:tcW w:w="80" w:type="dxa"/>
            <w:tcBorders/>
            <w:shd w:fill="FFFFFF" w:val="clear"/>
            <w:vAlign w:val="center"/>
          </w:tcPr>
          <w:p>
            <w:pPr>
              <w:pStyle w:val="TableContents"/>
              <w:bidi w:val="0"/>
              <w:spacing w:before="0" w:after="283"/>
              <w:jc w:val="left"/>
              <w:rPr/>
            </w:pPr>
            <w:r>
              <w:rPr/>
              <w:t> </w:t>
            </w:r>
          </w:p>
        </w:tc>
      </w:tr>
      <w:tr>
        <w:trPr/>
        <w:tc>
          <w:tcPr>
            <w:tcW w:w="51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Repurchase of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w:t>
            </w:r>
          </w:p>
        </w:tc>
        <w:tc>
          <w:tcPr>
            <w:tcW w:w="80" w:type="dxa"/>
            <w:tcBorders/>
            <w:shd w:fill="FFFFFF" w:val="clear"/>
            <w:vAlign w:val="center"/>
          </w:tcPr>
          <w:p>
            <w:pPr>
              <w:pStyle w:val="TableContents"/>
              <w:bidi w:val="0"/>
              <w:spacing w:before="0" w:after="283"/>
              <w:jc w:val="left"/>
              <w:rPr/>
            </w:pPr>
            <w:r>
              <w:rPr/>
              <w:t> </w:t>
            </w:r>
          </w:p>
        </w:tc>
      </w:tr>
      <w:tr>
        <w:trPr/>
        <w:tc>
          <w:tcPr>
            <w:tcW w:w="51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declared ($0.78 per share)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(15,204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(15,204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1,628</w:t>
            </w:r>
          </w:p>
        </w:tc>
        <w:tc>
          <w:tcPr>
            <w:tcW w:w="80" w:type="dxa"/>
            <w:tcBorders/>
            <w:shd w:fill="FFFFFF" w:val="clear"/>
            <w:vAlign w:val="center"/>
          </w:tcPr>
          <w:p>
            <w:pPr>
              <w:pStyle w:val="TableContents"/>
              <w:bidi w:val="0"/>
              <w:spacing w:before="0" w:after="283"/>
              <w:jc w:val="left"/>
              <w:rPr/>
            </w:pPr>
            <w:r>
              <w:rPr/>
              <w:t> </w:t>
            </w:r>
          </w:p>
        </w:tc>
      </w:tr>
      <w:tr>
        <w:trPr/>
        <w:tc>
          <w:tcPr>
            <w:tcW w:w="51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4,824</w:t>
            </w:r>
          </w:p>
        </w:tc>
        <w:tc>
          <w:tcPr>
            <w:tcW w:w="80" w:type="dxa"/>
            <w:tcBorders/>
            <w:shd w:fill="CCEEFF" w:val="clear"/>
            <w:vAlign w:val="center"/>
          </w:tcPr>
          <w:p>
            <w:pPr>
              <w:pStyle w:val="TableContents"/>
              <w:bidi w:val="0"/>
              <w:spacing w:before="0" w:after="283"/>
              <w:jc w:val="left"/>
              <w:rPr/>
            </w:pPr>
            <w:r>
              <w:rPr/>
              <w:t> </w:t>
            </w:r>
          </w:p>
        </w:tc>
      </w:tr>
      <w:tr>
        <w:trPr/>
        <w:tc>
          <w:tcPr>
            <w:tcW w:w="5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March 29,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137,155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(17,444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815,323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935,034</w:t>
            </w:r>
          </w:p>
        </w:tc>
        <w:tc>
          <w:tcPr>
            <w:tcW w:w="80" w:type="dxa"/>
            <w:tcBorders/>
            <w:shd w:fill="FFFFFF" w:val="clear"/>
            <w:vAlign w:val="center"/>
          </w:tcPr>
          <w:p>
            <w:pPr>
              <w:pStyle w:val="TableContents"/>
              <w:bidi w:val="0"/>
              <w:spacing w:before="0" w:after="283"/>
              <w:jc w:val="left"/>
              <w:rPr/>
            </w:pPr>
            <w:r>
              <w:rPr/>
              <w:t> </w:t>
            </w:r>
          </w:p>
        </w:tc>
      </w:tr>
      <w:tr>
        <w:trPr/>
        <w:tc>
          <w:tcPr>
            <w:tcW w:w="51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1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issued upon exercise of stock options, net of shares withheld for taxes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w:t>
            </w:r>
          </w:p>
        </w:tc>
        <w:tc>
          <w:tcPr>
            <w:tcW w:w="80" w:type="dxa"/>
            <w:tcBorders/>
            <w:shd w:fill="FFFFFF" w:val="clear"/>
            <w:vAlign w:val="center"/>
          </w:tcPr>
          <w:p>
            <w:pPr>
              <w:pStyle w:val="TableContents"/>
              <w:bidi w:val="0"/>
              <w:spacing w:before="0" w:after="283"/>
              <w:jc w:val="left"/>
              <w:rPr/>
            </w:pPr>
            <w:r>
              <w:rPr/>
              <w:t> </w:t>
            </w:r>
          </w:p>
        </w:tc>
      </w:tr>
      <w:tr>
        <w:trPr/>
        <w:tc>
          <w:tcPr>
            <w:tcW w:w="51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3,774</w:t>
            </w:r>
          </w:p>
        </w:tc>
        <w:tc>
          <w:tcPr>
            <w:tcW w:w="80" w:type="dxa"/>
            <w:tcBorders/>
            <w:shd w:fill="CCEEFF" w:val="clear"/>
            <w:vAlign w:val="center"/>
          </w:tcPr>
          <w:p>
            <w:pPr>
              <w:pStyle w:val="TableContents"/>
              <w:bidi w:val="0"/>
              <w:spacing w:before="0" w:after="283"/>
              <w:jc w:val="left"/>
              <w:rPr/>
            </w:pPr>
            <w:r>
              <w:rPr/>
              <w:t> </w:t>
            </w:r>
          </w:p>
        </w:tc>
      </w:tr>
      <w:tr>
        <w:trPr/>
        <w:tc>
          <w:tcPr>
            <w:tcW w:w="51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declared ($0.78 per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(15,175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(15,175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1,828</w:t>
            </w:r>
          </w:p>
        </w:tc>
        <w:tc>
          <w:tcPr>
            <w:tcW w:w="80" w:type="dxa"/>
            <w:tcBorders/>
            <w:shd w:fill="CCEEFF" w:val="clear"/>
            <w:vAlign w:val="center"/>
          </w:tcPr>
          <w:p>
            <w:pPr>
              <w:pStyle w:val="TableContents"/>
              <w:bidi w:val="0"/>
              <w:spacing w:before="0" w:after="283"/>
              <w:jc w:val="left"/>
              <w:rPr/>
            </w:pPr>
            <w:r>
              <w:rPr/>
              <w:t> </w:t>
            </w:r>
          </w:p>
        </w:tc>
      </w:tr>
      <w:tr>
        <w:trPr/>
        <w:tc>
          <w:tcPr>
            <w:tcW w:w="51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44,247</w:t>
            </w:r>
          </w:p>
        </w:tc>
        <w:tc>
          <w:tcPr>
            <w:tcW w:w="80" w:type="dxa"/>
            <w:tcBorders/>
            <w:shd w:fill="FFFFFF" w:val="clear"/>
            <w:vAlign w:val="center"/>
          </w:tcPr>
          <w:p>
            <w:pPr>
              <w:pStyle w:val="TableContents"/>
              <w:bidi w:val="0"/>
              <w:spacing w:before="0" w:after="283"/>
              <w:jc w:val="left"/>
              <w:rPr/>
            </w:pPr>
            <w:r>
              <w:rPr/>
              <w:t> </w:t>
            </w:r>
          </w:p>
        </w:tc>
      </w:tr>
      <w:tr>
        <w:trPr/>
        <w:tc>
          <w:tcPr>
            <w:tcW w:w="5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June 28,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139,200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844,395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969,925</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140"/>
        <w:gridCol w:w="60"/>
        <w:gridCol w:w="60"/>
        <w:gridCol w:w="590"/>
        <w:gridCol w:w="60"/>
        <w:gridCol w:w="60"/>
        <w:gridCol w:w="125"/>
        <w:gridCol w:w="695"/>
        <w:gridCol w:w="60"/>
        <w:gridCol w:w="60"/>
        <w:gridCol w:w="208"/>
        <w:gridCol w:w="1087"/>
        <w:gridCol w:w="80"/>
        <w:gridCol w:w="60"/>
        <w:gridCol w:w="125"/>
        <w:gridCol w:w="695"/>
        <w:gridCol w:w="80"/>
        <w:gridCol w:w="60"/>
        <w:gridCol w:w="125"/>
        <w:gridCol w:w="695"/>
        <w:gridCol w:w="80"/>
      </w:tblGrid>
      <w:tr>
        <w:trPr/>
        <w:tc>
          <w:tcPr>
            <w:tcW w:w="5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5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5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9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Retained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5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Amount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earnings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80" w:type="dxa"/>
            <w:tcBorders/>
            <w:vAlign w:val="center"/>
          </w:tcPr>
          <w:p>
            <w:pPr>
              <w:pStyle w:val="TableContents"/>
              <w:bidi w:val="0"/>
              <w:spacing w:before="0" w:after="283"/>
              <w:jc w:val="left"/>
              <w:rPr/>
            </w:pPr>
            <w:r>
              <w:rPr/>
              <w:t> </w:t>
            </w:r>
          </w:p>
        </w:tc>
      </w:tr>
      <w:tr>
        <w:trPr/>
        <w:tc>
          <w:tcPr>
            <w:tcW w:w="5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51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September 30,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114,556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(10,166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807,128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911,518</w:t>
            </w:r>
          </w:p>
        </w:tc>
        <w:tc>
          <w:tcPr>
            <w:tcW w:w="80" w:type="dxa"/>
            <w:tcBorders/>
            <w:shd w:fill="CCEEFF" w:val="clear"/>
            <w:vAlign w:val="center"/>
          </w:tcPr>
          <w:p>
            <w:pPr>
              <w:pStyle w:val="TableContents"/>
              <w:bidi w:val="0"/>
              <w:spacing w:before="0" w:after="283"/>
              <w:jc w:val="left"/>
              <w:rPr/>
            </w:pPr>
            <w:r>
              <w:rPr/>
              <w:t> </w:t>
            </w:r>
          </w:p>
        </w:tc>
      </w:tr>
      <w:tr>
        <w:trPr/>
        <w:tc>
          <w:tcPr>
            <w:tcW w:w="5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1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issued upon exercise of stock options, net of shares withheld for taxes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4,481</w:t>
            </w:r>
          </w:p>
        </w:tc>
        <w:tc>
          <w:tcPr>
            <w:tcW w:w="80" w:type="dxa"/>
            <w:tcBorders/>
            <w:shd w:fill="CCEEFF" w:val="clear"/>
            <w:vAlign w:val="center"/>
          </w:tcPr>
          <w:p>
            <w:pPr>
              <w:pStyle w:val="TableContents"/>
              <w:bidi w:val="0"/>
              <w:spacing w:before="0" w:after="283"/>
              <w:jc w:val="left"/>
              <w:rPr/>
            </w:pPr>
            <w:r>
              <w:rPr/>
              <w:t> </w:t>
            </w:r>
          </w:p>
        </w:tc>
      </w:tr>
      <w:tr>
        <w:trPr/>
        <w:tc>
          <w:tcPr>
            <w:tcW w:w="51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issued upon vesting of service share units, net of shares withheld for taxes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51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1,935</w:t>
            </w:r>
          </w:p>
        </w:tc>
        <w:tc>
          <w:tcPr>
            <w:tcW w:w="80" w:type="dxa"/>
            <w:tcBorders/>
            <w:shd w:fill="CCEEFF" w:val="clear"/>
            <w:vAlign w:val="center"/>
          </w:tcPr>
          <w:p>
            <w:pPr>
              <w:pStyle w:val="TableContents"/>
              <w:bidi w:val="0"/>
              <w:spacing w:before="0" w:after="283"/>
              <w:jc w:val="left"/>
              <w:rPr/>
            </w:pPr>
            <w:r>
              <w:rPr/>
              <w:t> </w:t>
            </w:r>
          </w:p>
        </w:tc>
      </w:tr>
      <w:tr>
        <w:trPr/>
        <w:tc>
          <w:tcPr>
            <w:tcW w:w="51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declared ($0.74 per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(14,235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(14,235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1,480</w:t>
            </w:r>
          </w:p>
        </w:tc>
        <w:tc>
          <w:tcPr>
            <w:tcW w:w="80" w:type="dxa"/>
            <w:tcBorders/>
            <w:shd w:fill="CCEEFF" w:val="clear"/>
            <w:vAlign w:val="center"/>
          </w:tcPr>
          <w:p>
            <w:pPr>
              <w:pStyle w:val="TableContents"/>
              <w:bidi w:val="0"/>
              <w:spacing w:before="0" w:after="283"/>
              <w:jc w:val="left"/>
              <w:rPr/>
            </w:pPr>
            <w:r>
              <w:rPr/>
              <w:t> </w:t>
            </w:r>
          </w:p>
        </w:tc>
      </w:tr>
      <w:tr>
        <w:trPr/>
        <w:tc>
          <w:tcPr>
            <w:tcW w:w="51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7,282</w:t>
            </w:r>
          </w:p>
        </w:tc>
        <w:tc>
          <w:tcPr>
            <w:tcW w:w="80" w:type="dxa"/>
            <w:tcBorders/>
            <w:shd w:fill="FFFFFF" w:val="clear"/>
            <w:vAlign w:val="center"/>
          </w:tcPr>
          <w:p>
            <w:pPr>
              <w:pStyle w:val="TableContents"/>
              <w:bidi w:val="0"/>
              <w:spacing w:before="0" w:after="283"/>
              <w:jc w:val="left"/>
              <w:rPr/>
            </w:pPr>
            <w:r>
              <w:rPr/>
              <w:t> </w:t>
            </w:r>
          </w:p>
        </w:tc>
      </w:tr>
      <w:tr>
        <w:trPr/>
        <w:tc>
          <w:tcPr>
            <w:tcW w:w="51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December 30, 2023</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120,517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(8,231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800,175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912,461</w:t>
            </w:r>
          </w:p>
        </w:tc>
        <w:tc>
          <w:tcPr>
            <w:tcW w:w="80" w:type="dxa"/>
            <w:tcBorders/>
            <w:shd w:fill="CCEEFF" w:val="clear"/>
            <w:vAlign w:val="center"/>
          </w:tcPr>
          <w:p>
            <w:pPr>
              <w:pStyle w:val="TableContents"/>
              <w:bidi w:val="0"/>
              <w:spacing w:before="0" w:after="283"/>
              <w:jc w:val="left"/>
              <w:rPr/>
            </w:pPr>
            <w:r>
              <w:rPr/>
              <w:t> </w:t>
            </w:r>
          </w:p>
        </w:tc>
      </w:tr>
      <w:tr>
        <w:trPr/>
        <w:tc>
          <w:tcPr>
            <w:tcW w:w="5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1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issued upon exercise of stock options, net of shares withheld for taxes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715</w:t>
            </w:r>
          </w:p>
        </w:tc>
        <w:tc>
          <w:tcPr>
            <w:tcW w:w="80" w:type="dxa"/>
            <w:tcBorders/>
            <w:shd w:fill="CCEEFF" w:val="clear"/>
            <w:vAlign w:val="center"/>
          </w:tcPr>
          <w:p>
            <w:pPr>
              <w:pStyle w:val="TableContents"/>
              <w:bidi w:val="0"/>
              <w:spacing w:before="0" w:after="283"/>
              <w:jc w:val="left"/>
              <w:rPr/>
            </w:pPr>
            <w:r>
              <w:rPr/>
              <w:t> </w:t>
            </w:r>
          </w:p>
        </w:tc>
      </w:tr>
      <w:tr>
        <w:trPr/>
        <w:tc>
          <w:tcPr>
            <w:tcW w:w="51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issued for employee stock purchase plan, net of shares withheld for taxes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1,320</w:t>
            </w:r>
          </w:p>
        </w:tc>
        <w:tc>
          <w:tcPr>
            <w:tcW w:w="80" w:type="dxa"/>
            <w:tcBorders/>
            <w:shd w:fill="FFFFFF" w:val="clear"/>
            <w:vAlign w:val="center"/>
          </w:tcPr>
          <w:p>
            <w:pPr>
              <w:pStyle w:val="TableContents"/>
              <w:bidi w:val="0"/>
              <w:spacing w:before="0" w:after="283"/>
              <w:jc w:val="left"/>
              <w:rPr/>
            </w:pPr>
            <w:r>
              <w:rPr/>
              <w:t> </w:t>
            </w:r>
          </w:p>
        </w:tc>
      </w:tr>
      <w:tr>
        <w:trPr/>
        <w:tc>
          <w:tcPr>
            <w:tcW w:w="51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w:t>
            </w:r>
          </w:p>
        </w:tc>
        <w:tc>
          <w:tcPr>
            <w:tcW w:w="80" w:type="dxa"/>
            <w:tcBorders/>
            <w:shd w:fill="CCEEFF" w:val="clear"/>
            <w:vAlign w:val="center"/>
          </w:tcPr>
          <w:p>
            <w:pPr>
              <w:pStyle w:val="TableContents"/>
              <w:bidi w:val="0"/>
              <w:spacing w:before="0" w:after="283"/>
              <w:jc w:val="left"/>
              <w:rPr/>
            </w:pPr>
            <w:r>
              <w:rPr/>
              <w:t> </w:t>
            </w:r>
          </w:p>
        </w:tc>
      </w:tr>
      <w:tr>
        <w:trPr/>
        <w:tc>
          <w:tcPr>
            <w:tcW w:w="51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declared ($0.74 per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(14,249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(14,249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1,728</w:t>
            </w:r>
          </w:p>
        </w:tc>
        <w:tc>
          <w:tcPr>
            <w:tcW w:w="80" w:type="dxa"/>
            <w:tcBorders/>
            <w:shd w:fill="CCEEFF" w:val="clear"/>
            <w:vAlign w:val="center"/>
          </w:tcPr>
          <w:p>
            <w:pPr>
              <w:pStyle w:val="TableContents"/>
              <w:bidi w:val="0"/>
              <w:spacing w:before="0" w:after="283"/>
              <w:jc w:val="left"/>
              <w:rPr/>
            </w:pPr>
            <w:r>
              <w:rPr/>
              <w:t> </w:t>
            </w:r>
          </w:p>
        </w:tc>
      </w:tr>
      <w:tr>
        <w:trPr/>
        <w:tc>
          <w:tcPr>
            <w:tcW w:w="51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13,329</w:t>
            </w:r>
          </w:p>
        </w:tc>
        <w:tc>
          <w:tcPr>
            <w:tcW w:w="80" w:type="dxa"/>
            <w:tcBorders/>
            <w:shd w:fill="FFFFFF" w:val="clear"/>
            <w:vAlign w:val="center"/>
          </w:tcPr>
          <w:p>
            <w:pPr>
              <w:pStyle w:val="TableContents"/>
              <w:bidi w:val="0"/>
              <w:spacing w:before="0" w:after="283"/>
              <w:jc w:val="left"/>
              <w:rPr/>
            </w:pPr>
            <w:r>
              <w:rPr/>
              <w:t> </w:t>
            </w:r>
          </w:p>
        </w:tc>
      </w:tr>
      <w:tr>
        <w:trPr/>
        <w:tc>
          <w:tcPr>
            <w:tcW w:w="51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March 30,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124,280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(7,883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799,255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915,652</w:t>
            </w:r>
          </w:p>
        </w:tc>
        <w:tc>
          <w:tcPr>
            <w:tcW w:w="80" w:type="dxa"/>
            <w:tcBorders/>
            <w:shd w:fill="CCEEFF" w:val="clear"/>
            <w:vAlign w:val="center"/>
          </w:tcPr>
          <w:p>
            <w:pPr>
              <w:pStyle w:val="TableContents"/>
              <w:bidi w:val="0"/>
              <w:spacing w:before="0" w:after="283"/>
              <w:jc w:val="left"/>
              <w:rPr/>
            </w:pPr>
            <w:r>
              <w:rPr/>
              <w:t> </w:t>
            </w:r>
          </w:p>
        </w:tc>
      </w:tr>
      <w:tr>
        <w:trPr/>
        <w:tc>
          <w:tcPr>
            <w:tcW w:w="5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1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issued upon exercise of stock options, net of shares withheld for taxes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3,141</w:t>
            </w:r>
          </w:p>
        </w:tc>
        <w:tc>
          <w:tcPr>
            <w:tcW w:w="80" w:type="dxa"/>
            <w:tcBorders/>
            <w:shd w:fill="CCEEFF" w:val="clear"/>
            <w:vAlign w:val="center"/>
          </w:tcPr>
          <w:p>
            <w:pPr>
              <w:pStyle w:val="TableContents"/>
              <w:bidi w:val="0"/>
              <w:spacing w:before="0" w:after="283"/>
              <w:jc w:val="left"/>
              <w:rPr/>
            </w:pPr>
            <w:r>
              <w:rPr/>
              <w:t> </w:t>
            </w:r>
          </w:p>
        </w:tc>
      </w:tr>
      <w:tr>
        <w:trPr/>
        <w:tc>
          <w:tcPr>
            <w:tcW w:w="51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issued for employee stock purchase plan, net of shares withheld for taxes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51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(4,546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(4,546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declared ($0.74 per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(14,263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(14,263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1,633</w:t>
            </w:r>
          </w:p>
        </w:tc>
        <w:tc>
          <w:tcPr>
            <w:tcW w:w="80" w:type="dxa"/>
            <w:tcBorders/>
            <w:shd w:fill="CCEEFF" w:val="clear"/>
            <w:vAlign w:val="center"/>
          </w:tcPr>
          <w:p>
            <w:pPr>
              <w:pStyle w:val="TableContents"/>
              <w:bidi w:val="0"/>
              <w:spacing w:before="0" w:after="283"/>
              <w:jc w:val="left"/>
              <w:rPr/>
            </w:pPr>
            <w:r>
              <w:rPr/>
              <w:t> </w:t>
            </w:r>
          </w:p>
        </w:tc>
      </w:tr>
      <w:tr>
        <w:trPr/>
        <w:tc>
          <w:tcPr>
            <w:tcW w:w="51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36,299</w:t>
            </w:r>
          </w:p>
        </w:tc>
        <w:tc>
          <w:tcPr>
            <w:tcW w:w="80" w:type="dxa"/>
            <w:tcBorders/>
            <w:shd w:fill="FFFFFF" w:val="clear"/>
            <w:vAlign w:val="center"/>
          </w:tcPr>
          <w:p>
            <w:pPr>
              <w:pStyle w:val="TableContents"/>
              <w:bidi w:val="0"/>
              <w:spacing w:before="0" w:after="283"/>
              <w:jc w:val="left"/>
              <w:rPr/>
            </w:pPr>
            <w:r>
              <w:rPr/>
              <w:t> </w:t>
            </w:r>
          </w:p>
        </w:tc>
      </w:tr>
      <w:tr>
        <w:trPr/>
        <w:tc>
          <w:tcPr>
            <w:tcW w:w="51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June 29,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129,054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(12,429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821,291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937,916</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The accompanying notes are an integral part of these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J &amp; J SNACK FOODS CORP. AND SUBSIDIARIES</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CONSOLIDATED STATEMENTS OF CASH FLOWS</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(Unaudited) (in thousands)</w:t>
      </w:r>
    </w:p>
    <w:p>
      <w:pPr>
        <w:pStyle w:val="TextBody"/>
        <w:bidi w:val="0"/>
        <w:spacing w:before="0" w:after="0"/>
        <w:ind w:left="0" w:right="0" w:hanging="0"/>
        <w:jc w:val="left"/>
        <w:rPr/>
      </w:pPr>
      <w:r>
        <w:rPr/>
        <w:t> </w:t>
      </w:r>
    </w:p>
    <w:tbl>
      <w:tblPr>
        <w:tblW w:w="8570" w:type="dxa"/>
        <w:jc w:val="left"/>
        <w:tblInd w:w="0" w:type="dxa"/>
        <w:tblLayout w:type="fixed"/>
        <w:tblCellMar>
          <w:top w:w="0" w:type="dxa"/>
          <w:left w:w="0" w:type="dxa"/>
          <w:bottom w:w="0" w:type="dxa"/>
          <w:right w:w="0" w:type="dxa"/>
        </w:tblCellMar>
      </w:tblPr>
      <w:tblGrid>
        <w:gridCol w:w="6695"/>
        <w:gridCol w:w="60"/>
        <w:gridCol w:w="125"/>
        <w:gridCol w:w="650"/>
        <w:gridCol w:w="80"/>
        <w:gridCol w:w="60"/>
        <w:gridCol w:w="125"/>
        <w:gridCol w:w="695"/>
        <w:gridCol w:w="80"/>
      </w:tblGrid>
      <w:tr>
        <w:trPr/>
        <w:tc>
          <w:tcPr>
            <w:tcW w:w="6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3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tc>
        <w:tc>
          <w:tcPr>
            <w:tcW w:w="80" w:type="dxa"/>
            <w:tcBorders/>
            <w:vAlign w:val="center"/>
          </w:tcPr>
          <w:p>
            <w:pPr>
              <w:pStyle w:val="TableContents"/>
              <w:bidi w:val="0"/>
              <w:spacing w:before="0" w:after="283"/>
              <w:jc w:val="left"/>
              <w:rPr/>
            </w:pPr>
            <w:r>
              <w:rPr/>
              <w:t> </w:t>
            </w:r>
          </w:p>
        </w:tc>
      </w:tr>
      <w:tr>
        <w:trPr/>
        <w:tc>
          <w:tcPr>
            <w:tcW w:w="6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29,</w:t>
            </w:r>
          </w:p>
        </w:tc>
        <w:tc>
          <w:tcPr>
            <w:tcW w:w="80" w:type="dxa"/>
            <w:tcBorders/>
            <w:vAlign w:val="center"/>
          </w:tcPr>
          <w:p>
            <w:pPr>
              <w:pStyle w:val="TableContents"/>
              <w:bidi w:val="0"/>
              <w:spacing w:before="0" w:after="283"/>
              <w:jc w:val="left"/>
              <w:rPr/>
            </w:pPr>
            <w:r>
              <w:rPr/>
              <w:t> </w:t>
            </w:r>
          </w:p>
        </w:tc>
      </w:tr>
      <w:tr>
        <w:trPr/>
        <w:tc>
          <w:tcPr>
            <w:tcW w:w="6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54,214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56,910</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earnings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of fixed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47,141</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intangibles and deferred costs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5,244</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 impairment charges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from disposals of property &amp;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4,841</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insurance proceeds received for damage to property, plant,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(10,622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insurance proceeds received in excess of operating losses recognized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assets and liabilities, net of effects from purchase of companies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(Increase) in accounts receivable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(16,491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(10,949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9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(Increase) in inventories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(21,634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(7,264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9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changes in other operating assets and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30,268</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98,697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126,746</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for purchases of companies, net of cash acquired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(7,014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property, plant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(61,264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(56,371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disposal of property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insurance for fixed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(48,430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(62,901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to repurchase common stock</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issuance of stock</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9,657</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Borrowings under credit facility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57,000</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 of borrowings under credit facility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(72,000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on finance lease obligations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 of cash dividend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(45,575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(42,693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(47,653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(48,156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exchange rates on cash and cash equivalents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increase in cash and cash equivalents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14,466</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beginning of period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73,394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49,581</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end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77,377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64,047</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The accompanying notes are an integral part of these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 &amp; J SNACK FOODS CORP. AND SUBSIDIARIES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THE CONSOLIDATED FINANCIAL STATEMENTS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350" w:type="dxa"/>
        <w:jc w:val="left"/>
        <w:tblInd w:w="0" w:type="dxa"/>
        <w:tblLayout w:type="fixed"/>
        <w:tblCellMar>
          <w:top w:w="0" w:type="dxa"/>
          <w:left w:w="0" w:type="dxa"/>
          <w:bottom w:w="0" w:type="dxa"/>
          <w:right w:w="0" w:type="dxa"/>
        </w:tblCellMar>
      </w:tblPr>
      <w:tblGrid>
        <w:gridCol w:w="560"/>
        <w:gridCol w:w="1790"/>
      </w:tblGrid>
      <w:tr>
        <w:trPr/>
        <w:tc>
          <w:tcPr>
            <w:tcW w:w="56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w:t>
            </w:r>
          </w:p>
        </w:tc>
        <w:tc>
          <w:tcPr>
            <w:tcW w:w="179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Basis of Presentation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accompanying unaudited Consolidated Financial Statements have been prepared in accordance with accounting principles generally accepted in the United States for interim financial information and with the instructions to Form 10-Q and Rule 10-01 of Regulation S-X. They do not include all information and notes required by generally accepted accounting principles for complete financial statements. However, except as disclosed herein, there has been no material change in the information disclosed in the Notes to Consolidated Financial Statements included in the Company’s Annual Report on Form 10-K for the year ended September 28,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In the opinion of management, the accompanying unaudited consolidated financial statements contain all adjustments (consisting of only normal recurring adjustments) necessary to present fairly the Company’s financial position and the results of operations and cash flows.</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results of operations for the three and nine months ended June 28, 2025 and June 29, 2024 are not necessarily indicative of results for the full year. Sales of our frozen beverages and frozen novelties are generally higher in the fiscal third and fourth quarters due to warmer weather.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While we believe that the disclosures presented are adequate to make the information not misleading, it is suggested that these consolidated financial statements be read in conjunction with the audited consolidated financial statements and the notes included in the Company’s Annual Report on Form 10-K for the fiscal year ended September 28,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530" w:type="dxa"/>
        <w:jc w:val="left"/>
        <w:tblInd w:w="0" w:type="dxa"/>
        <w:tblLayout w:type="fixed"/>
        <w:tblCellMar>
          <w:top w:w="0" w:type="dxa"/>
          <w:left w:w="0" w:type="dxa"/>
          <w:bottom w:w="0" w:type="dxa"/>
          <w:right w:w="0" w:type="dxa"/>
        </w:tblCellMar>
      </w:tblPr>
      <w:tblGrid>
        <w:gridCol w:w="560"/>
        <w:gridCol w:w="1970"/>
      </w:tblGrid>
      <w:tr>
        <w:trPr/>
        <w:tc>
          <w:tcPr>
            <w:tcW w:w="56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2</w:t>
            </w:r>
          </w:p>
        </w:tc>
        <w:tc>
          <w:tcPr>
            <w:tcW w:w="19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Business Combinations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On April 8, 2024, J &amp; J Snack Foods Corp. completed the acquisition of the Thinsters cookie business from Hain Celestial Group as part of our growth strategy to increase our product portfolio. The purchase price was approximately $7.0 million, consisting entirely of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allocation of the purchase price to major classes of assets and liabilities was completed as of September 28, 2024. The purchase price allocation includes $1.1 million of Inventory acquired and $5.9 million of Intangible assets. Intangible assets include an indefinite lived Trade name with a fair value of $5.3 million, and an amortizing Customer relationship intangible asset with a fair value of $0.7 million. The Customer relationship intangible asset will amortize over a useful life of 10 years. The acquisition of Thinsters was accounted for using the acquisition method of accounting.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financial results of Thinsters have been included in our consolidated financial statements since the date of the acquisition and are reported as part of our Food Service segment. Sales and net earnings of Thinsters were not deemed to be material for the three months and nine months ended June 28, 2025 or June 29,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365" w:type="dxa"/>
        <w:jc w:val="left"/>
        <w:tblInd w:w="0" w:type="dxa"/>
        <w:tblLayout w:type="fixed"/>
        <w:tblCellMar>
          <w:top w:w="0" w:type="dxa"/>
          <w:left w:w="0" w:type="dxa"/>
          <w:bottom w:w="0" w:type="dxa"/>
          <w:right w:w="0" w:type="dxa"/>
        </w:tblCellMar>
      </w:tblPr>
      <w:tblGrid>
        <w:gridCol w:w="560"/>
        <w:gridCol w:w="1805"/>
      </w:tblGrid>
      <w:tr>
        <w:trPr/>
        <w:tc>
          <w:tcPr>
            <w:tcW w:w="56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3</w:t>
            </w:r>
          </w:p>
        </w:tc>
        <w:tc>
          <w:tcPr>
            <w:tcW w:w="18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 Recognition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We recognize revenue in accordance with ASC 606, “Revenue from Contracts with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When Performance Obligations Are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 performance obligation is a promise in a contract to transfer a distinct good or service to the customer and is the unit of account for revenue recognition. A contract’s transaction price is allocated to each distinct performance obligation and recognized as revenue when, or as, the performance obligation is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singular performance obligation of our customer contracts for product and machine sales is determined by each individual purchase order and the respective products ordered, with revenue being recognized at a point-in-time when the obligation under the terms of the agreement is satisfied and product control is transferred to our customer. Specifically, control transfers to our customers when the product is delivered to, installed or picked up by our customers based upon applicable shipping terms, as our customers can direct the use and obtain substantially all of the remaining benefits from the product at this point in time. The performance obligations in our customer contracts for product are generally satisfied within 30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singular performance obligation of our customer contracts for time and material repair and maintenance equipment service is the performance of the repair and maintenance with revenue being recognized at a point-in-time when the repair and maintenance is completed.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singular performance obligation of our customer repair and maintenance equipment service contracts is the performance of the repair and maintenance with revenue being recognized over the time the service is expected to be performed. Our customers are billed for service contracts in advance of performance and therefore we have contract liability on our balance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Significant Payment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In general, within our customer contracts, the purchase order identifies the product, quantity, price, pick-up allowances, payment terms and final delivery terms. Although some payment terms may be more extended, presently the majority of our payment terms are 30 days. As a result, we have used the available practical expedient and, consequently, do not adjust our revenues for the effects of a significant financing component.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 xml:space="preserve">Shipping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All amounts billed to customers related to shipping and handling are classified as revenues; therefore, we recognize revenue for shipping and handling fees at the time the products are shipped or when services are performed. The cost of shipping products to the customer is recognized at the time the products are shipped to the customer and our policy is to classify them as Distribution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Variable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In addition to fixed contract consideration, our contracts include some form of variable consideration, including sales discounts, trade promotions and certain other sales and consumer incentives, including rebates and coupon redemptions. In general, variable consideration is treated as a reduction in revenue when the related revenue is recognized. Depending on the specific type of variable consideration, we use the most likely amount method to determine the variable consideration. We believe there will be no significant changes to our estimates of variable consideration when any related uncertainties are resolved with our customers. We review and update our estimates and related accruals of variable consideration each period based on historical experience. Our recorded liability for allowances, end-user pricing adjustments and trade spending was approximately $25.3 million at June 28, 2025 and $21.9 million at September 28, 2024.</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Warranties &amp; Returns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We provide all customers with a standard or assurance type warranty. Either stated or implied, we provide assurance the related products will comply with all agreed-upon specifications and other warranties provided under the law. No services beyond an assurance warranty are provided to our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We do not grant a general right of return. However, customers may return defective or non-conforming products. Customer remedies may include either a cash refund or an exchange of the product. We do not estimate a right of return and related refund liability as returns of our products are rare.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08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Contract Balances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Our customers are billed for service contracts in advance of performance and therefore we have contract liability on our balance sheet as follows:</w:t>
      </w:r>
    </w:p>
    <w:p>
      <w:pPr>
        <w:pStyle w:val="TextBody"/>
        <w:bidi w:val="0"/>
        <w:spacing w:before="0" w:after="0"/>
        <w:ind w:left="0" w:right="0" w:hanging="0"/>
        <w:jc w:val="left"/>
        <w:rPr>
          <w:caps w:val="false"/>
          <w:smallCaps w:val="false"/>
        </w:rPr>
      </w:pPr>
      <w:r>
        <w:rPr>
          <w:caps w:val="false"/>
          <w:smallCaps w:val="false"/>
        </w:rPr>
        <w:t> </w:t>
      </w:r>
    </w:p>
    <w:tbl>
      <w:tblPr>
        <w:tblW w:w="6245" w:type="dxa"/>
        <w:jc w:val="left"/>
        <w:tblInd w:w="0" w:type="dxa"/>
        <w:tblLayout w:type="fixed"/>
        <w:tblCellMar>
          <w:top w:w="0" w:type="dxa"/>
          <w:left w:w="0" w:type="dxa"/>
          <w:bottom w:w="0" w:type="dxa"/>
          <w:right w:w="0" w:type="dxa"/>
        </w:tblCellMar>
      </w:tblPr>
      <w:tblGrid>
        <w:gridCol w:w="2615"/>
        <w:gridCol w:w="60"/>
        <w:gridCol w:w="146"/>
        <w:gridCol w:w="637"/>
        <w:gridCol w:w="93"/>
        <w:gridCol w:w="70"/>
        <w:gridCol w:w="146"/>
        <w:gridCol w:w="637"/>
        <w:gridCol w:w="80"/>
        <w:gridCol w:w="60"/>
        <w:gridCol w:w="135"/>
        <w:gridCol w:w="592"/>
        <w:gridCol w:w="87"/>
        <w:gridCol w:w="65"/>
        <w:gridCol w:w="135"/>
        <w:gridCol w:w="592"/>
        <w:gridCol w:w="95"/>
      </w:tblGrid>
      <w:tr>
        <w:trPr/>
        <w:tc>
          <w:tcPr>
            <w:tcW w:w="26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29"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0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tc>
        <w:tc>
          <w:tcPr>
            <w:tcW w:w="95"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3"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w:t>
            </w:r>
          </w:p>
        </w:tc>
        <w:tc>
          <w:tcPr>
            <w:tcW w:w="93"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ind w:left="0" w:right="0" w:hanging="0"/>
              <w:jc w:val="left"/>
              <w:rPr/>
            </w:pPr>
            <w:r>
              <w:rPr/>
              <w:t> </w:t>
            </w:r>
          </w:p>
        </w:tc>
        <w:tc>
          <w:tcPr>
            <w:tcW w:w="783"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7"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w:t>
            </w:r>
          </w:p>
        </w:tc>
        <w:tc>
          <w:tcPr>
            <w:tcW w:w="87"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ind w:left="0" w:right="0" w:hanging="0"/>
              <w:jc w:val="left"/>
              <w:rPr/>
            </w:pPr>
            <w:r>
              <w:rPr/>
              <w:t> </w:t>
            </w:r>
          </w:p>
        </w:tc>
        <w:tc>
          <w:tcPr>
            <w:tcW w:w="727"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29,</w:t>
            </w:r>
          </w:p>
        </w:tc>
        <w:tc>
          <w:tcPr>
            <w:tcW w:w="95"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93"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ind w:left="0" w:right="0" w:hanging="0"/>
              <w:jc w:val="left"/>
              <w:rPr/>
            </w:pPr>
            <w:r>
              <w:rPr/>
              <w:t> </w:t>
            </w:r>
          </w:p>
        </w:tc>
        <w:tc>
          <w:tcPr>
            <w:tcW w:w="7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7"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ind w:left="0" w:right="0" w:hanging="0"/>
              <w:jc w:val="left"/>
              <w:rPr/>
            </w:pPr>
            <w:r>
              <w:rPr/>
              <w:t> </w:t>
            </w:r>
          </w:p>
        </w:tc>
        <w:tc>
          <w:tcPr>
            <w:tcW w:w="7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95"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29"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(in thousands)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06"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(in thousands) </w:t>
            </w:r>
          </w:p>
        </w:tc>
        <w:tc>
          <w:tcPr>
            <w:tcW w:w="95"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7"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592"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592"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4,404</w:t>
            </w:r>
          </w:p>
        </w:tc>
        <w:tc>
          <w:tcPr>
            <w:tcW w:w="9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4,798</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5,306</w:t>
            </w:r>
          </w:p>
        </w:tc>
        <w:tc>
          <w:tcPr>
            <w:tcW w:w="95" w:type="dxa"/>
            <w:tcBorders/>
            <w:shd w:fill="CCEEFF" w:val="clear"/>
            <w:vAlign w:val="center"/>
          </w:tcPr>
          <w:p>
            <w:pPr>
              <w:pStyle w:val="TableContents"/>
              <w:bidi w:val="0"/>
              <w:spacing w:before="0" w:after="283"/>
              <w:jc w:val="left"/>
              <w:rPr/>
            </w:pPr>
            <w:r>
              <w:rPr/>
              <w:t> </w:t>
            </w:r>
          </w:p>
        </w:tc>
      </w:tr>
      <w:tr>
        <w:trPr/>
        <w:tc>
          <w:tcPr>
            <w:tcW w:w="26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Additions to contract liability</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6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1,368</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6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5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4,775</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5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5,150</w:t>
            </w:r>
          </w:p>
        </w:tc>
        <w:tc>
          <w:tcPr>
            <w:tcW w:w="95" w:type="dxa"/>
            <w:tcBorders/>
            <w:shd w:fill="FFFFFF" w:val="clear"/>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Amounts recognized as revenue</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(1,782</w:t>
            </w:r>
          </w:p>
        </w:tc>
        <w:tc>
          <w:tcPr>
            <w:tcW w:w="9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(5,583</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(5,414</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Ending balance</w:t>
            </w:r>
          </w:p>
        </w:tc>
        <w:tc>
          <w:tcPr>
            <w:tcW w:w="60" w:type="dxa"/>
            <w:tcBorders/>
            <w:shd w:fill="FFFF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3,990</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3,990</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5,042</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Disaggregation of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See Note 11 for disaggregation of our net sales by class of similar product and type of customer.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Allowance for Estimated Credit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Company continuously monitors collections and payments from its customers and maintains a provision for estimated credit losses. The allowance for estimated credit losses considers a number of factors including the age of receivable balances, the history of losses, expectations of future credit losses, and the customers’ ability to pay off obligations. The allowance for estimated credit losses was $3.3 million and $3.2 million on June 28, 2025 and September 28,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560"/>
        <w:gridCol w:w="3410"/>
      </w:tblGrid>
      <w:tr>
        <w:trPr/>
        <w:tc>
          <w:tcPr>
            <w:tcW w:w="56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4</w:t>
            </w:r>
          </w:p>
        </w:tc>
        <w:tc>
          <w:tcPr>
            <w:tcW w:w="341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Depreciation and Amortization Expense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Depreciation of equipment and buildings is provided for by the straight-line method over the assets’ estimated useful lives. Amortization of improvements is provided for by the straight-line method over the term of the lease or the assets’ estimated useful lives, whichever is shorter. Licenses and rights, customer relationships, franchise agreements, technology, and certain trade names arising from acquisitions are amortized by the straight-line method over periods ranging from 2 to 20 years. Depreciation expense was $16.7 and $16.2 million for the three months ended June 28, 2025 and June 29, 2024, respectively, and $48.3 million and $47.1 million for the nine months ended June 28, 2025 and June 29,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230" w:type="dxa"/>
        <w:jc w:val="left"/>
        <w:tblInd w:w="0" w:type="dxa"/>
        <w:tblLayout w:type="fixed"/>
        <w:tblCellMar>
          <w:top w:w="0" w:type="dxa"/>
          <w:left w:w="0" w:type="dxa"/>
          <w:bottom w:w="0" w:type="dxa"/>
          <w:right w:w="0" w:type="dxa"/>
        </w:tblCellMar>
      </w:tblPr>
      <w:tblGrid>
        <w:gridCol w:w="560"/>
        <w:gridCol w:w="1670"/>
      </w:tblGrid>
      <w:tr>
        <w:trPr/>
        <w:tc>
          <w:tcPr>
            <w:tcW w:w="56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5</w:t>
            </w:r>
          </w:p>
        </w:tc>
        <w:tc>
          <w:tcPr>
            <w:tcW w:w="16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Earnings per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Basic earnings per common share (“EPS”) excludes dilution and is computed by dividing income available to common shareholders by the weighted average common shares outstanding during the period. Diluted EPS takes into consideration the potential dilution that could occur if securities (stock options, service share units (“RSU”)s, and performance share units (“PSU”)s) or other contracts to issue common stock were exercised and converted into common stock. Our calculation of EPS is as follows:</w:t>
      </w:r>
    </w:p>
    <w:p>
      <w:pPr>
        <w:pStyle w:val="TextBody"/>
        <w:bidi w:val="0"/>
        <w:spacing w:before="0" w:after="0"/>
        <w:ind w:left="0" w:right="0" w:hanging="0"/>
        <w:jc w:val="left"/>
        <w:rPr>
          <w:caps w:val="false"/>
          <w:smallCaps w:val="false"/>
        </w:rPr>
      </w:pPr>
      <w:r>
        <w:rPr>
          <w:caps w:val="false"/>
          <w:smallCaps w:val="false"/>
        </w:rPr>
        <w:t> </w:t>
      </w:r>
    </w:p>
    <w:tbl>
      <w:tblPr>
        <w:tblW w:w="9721" w:type="dxa"/>
        <w:jc w:val="left"/>
        <w:tblInd w:w="0" w:type="dxa"/>
        <w:tblLayout w:type="fixed"/>
        <w:tblCellMar>
          <w:top w:w="0" w:type="dxa"/>
          <w:left w:w="0" w:type="dxa"/>
          <w:bottom w:w="0" w:type="dxa"/>
          <w:right w:w="0" w:type="dxa"/>
        </w:tblCellMar>
      </w:tblPr>
      <w:tblGrid>
        <w:gridCol w:w="6035"/>
        <w:gridCol w:w="60"/>
        <w:gridCol w:w="189"/>
        <w:gridCol w:w="895"/>
        <w:gridCol w:w="81"/>
        <w:gridCol w:w="81"/>
        <w:gridCol w:w="116"/>
        <w:gridCol w:w="1148"/>
        <w:gridCol w:w="81"/>
        <w:gridCol w:w="81"/>
        <w:gridCol w:w="189"/>
        <w:gridCol w:w="670"/>
        <w:gridCol w:w="95"/>
      </w:tblGrid>
      <w:tr>
        <w:trPr/>
        <w:tc>
          <w:tcPr>
            <w:tcW w:w="6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531"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28, 2025</w:t>
            </w:r>
          </w:p>
        </w:tc>
        <w:tc>
          <w:tcPr>
            <w:tcW w:w="95" w:type="dxa"/>
            <w:tcBorders/>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Income</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ind w:left="0" w:right="0" w:hanging="0"/>
              <w:jc w:val="left"/>
              <w:rPr/>
            </w:pPr>
            <w:r>
              <w:rPr/>
              <w:t> </w:t>
            </w:r>
          </w:p>
        </w:tc>
        <w:tc>
          <w:tcPr>
            <w:tcW w:w="12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ind w:left="0" w:right="0" w:hanging="0"/>
              <w:jc w:val="left"/>
              <w:rPr/>
            </w:pPr>
            <w:r>
              <w:rPr/>
              <w:t> </w:t>
            </w:r>
          </w:p>
        </w:tc>
        <w:tc>
          <w:tcPr>
            <w:tcW w:w="85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 Share</w:t>
            </w:r>
          </w:p>
        </w:tc>
        <w:tc>
          <w:tcPr>
            <w:tcW w:w="95" w:type="dxa"/>
            <w:tcBorders/>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(Numerator)</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(Denominator)</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95" w:type="dxa"/>
            <w:tcBorders/>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531" w:type="dxa"/>
            <w:gridSpan w:val="1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per share amounts)</w:t>
            </w:r>
          </w:p>
        </w:tc>
        <w:tc>
          <w:tcPr>
            <w:tcW w:w="95" w:type="dxa"/>
            <w:tcBorders/>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Basic EPS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 available to common stockholders</w:t>
            </w:r>
          </w:p>
        </w:tc>
        <w:tc>
          <w:tcPr>
            <w:tcW w:w="60" w:type="dxa"/>
            <w:tcBorders/>
            <w:shd w:fill="FFFFFF" w:val="clear"/>
            <w:vAlign w:val="center"/>
          </w:tcPr>
          <w:p>
            <w:pPr>
              <w:pStyle w:val="TableContents"/>
              <w:bidi w:val="0"/>
              <w:spacing w:before="0" w:after="283"/>
              <w:ind w:left="0" w:right="0" w:hanging="0"/>
              <w:jc w:val="left"/>
              <w:rPr/>
            </w:pPr>
            <w:r>
              <w:rPr/>
              <w:t> </w:t>
            </w:r>
          </w:p>
        </w:tc>
        <w:tc>
          <w:tcPr>
            <w:tcW w:w="18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44,247</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11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19,455</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18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w:t>
            </w:r>
          </w:p>
        </w:tc>
        <w:tc>
          <w:tcPr>
            <w:tcW w:w="95" w:type="dxa"/>
            <w:tcBorders/>
            <w:shd w:fill="FFFFFF" w:val="clear"/>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Effect of dilutive securities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RSUs, PSUs, and options</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(0.01</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0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Diluted EPS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 available to common stockholders plus assumed conversions</w:t>
            </w:r>
          </w:p>
        </w:tc>
        <w:tc>
          <w:tcPr>
            <w:tcW w:w="60" w:type="dxa"/>
            <w:tcBorders/>
            <w:shd w:fill="FFFF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44,247</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1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19,537</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1080" w:right="0" w:hanging="0"/>
        <w:jc w:val="left"/>
        <w:rPr>
          <w:rFonts w:ascii="Times New Roman" w:hAnsi="Times New Roman"/>
          <w:sz w:val="20"/>
        </w:rPr>
      </w:pPr>
      <w:r>
        <w:rPr>
          <w:rFonts w:ascii="Times New Roman" w:hAnsi="Times New Roman"/>
          <w:sz w:val="20"/>
        </w:rPr>
        <w:t>230,144 anti-dilutive shares have been excluded in the computation of EPS for the three months ended June 28, 2025.</w:t>
      </w:r>
    </w:p>
    <w:p>
      <w:pPr>
        <w:pStyle w:val="TextBody"/>
        <w:bidi w:val="0"/>
        <w:spacing w:before="0" w:after="0"/>
        <w:ind w:left="0" w:right="0" w:hanging="0"/>
        <w:jc w:val="left"/>
        <w:rPr/>
      </w:pPr>
      <w:r>
        <w:rPr/>
        <w:t> </w:t>
      </w:r>
    </w:p>
    <w:tbl>
      <w:tblPr>
        <w:tblW w:w="9709" w:type="dxa"/>
        <w:jc w:val="left"/>
        <w:tblInd w:w="0" w:type="dxa"/>
        <w:tblLayout w:type="fixed"/>
        <w:tblCellMar>
          <w:top w:w="0" w:type="dxa"/>
          <w:left w:w="0" w:type="dxa"/>
          <w:bottom w:w="0" w:type="dxa"/>
          <w:right w:w="0" w:type="dxa"/>
        </w:tblCellMar>
      </w:tblPr>
      <w:tblGrid>
        <w:gridCol w:w="6035"/>
        <w:gridCol w:w="60"/>
        <w:gridCol w:w="189"/>
        <w:gridCol w:w="895"/>
        <w:gridCol w:w="78"/>
        <w:gridCol w:w="78"/>
        <w:gridCol w:w="116"/>
        <w:gridCol w:w="1148"/>
        <w:gridCol w:w="78"/>
        <w:gridCol w:w="78"/>
        <w:gridCol w:w="189"/>
        <w:gridCol w:w="670"/>
        <w:gridCol w:w="95"/>
      </w:tblGrid>
      <w:tr>
        <w:trPr/>
        <w:tc>
          <w:tcPr>
            <w:tcW w:w="6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519"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June 28, 2025</w:t>
            </w:r>
          </w:p>
        </w:tc>
        <w:tc>
          <w:tcPr>
            <w:tcW w:w="95" w:type="dxa"/>
            <w:tcBorders/>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Income</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ind w:left="0" w:right="0" w:hanging="0"/>
              <w:jc w:val="left"/>
              <w:rPr/>
            </w:pPr>
            <w:r>
              <w:rPr/>
              <w:t> </w:t>
            </w:r>
          </w:p>
        </w:tc>
        <w:tc>
          <w:tcPr>
            <w:tcW w:w="12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ind w:left="0" w:right="0" w:hanging="0"/>
              <w:jc w:val="left"/>
              <w:rPr/>
            </w:pPr>
            <w:r>
              <w:rPr/>
              <w:t> </w:t>
            </w:r>
          </w:p>
        </w:tc>
        <w:tc>
          <w:tcPr>
            <w:tcW w:w="85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 Share</w:t>
            </w:r>
          </w:p>
        </w:tc>
        <w:tc>
          <w:tcPr>
            <w:tcW w:w="95" w:type="dxa"/>
            <w:tcBorders/>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(Numerator)</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(Denominator)</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95" w:type="dxa"/>
            <w:tcBorders/>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519" w:type="dxa"/>
            <w:gridSpan w:val="1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per share amounts)</w:t>
            </w:r>
          </w:p>
        </w:tc>
        <w:tc>
          <w:tcPr>
            <w:tcW w:w="95" w:type="dxa"/>
            <w:tcBorders/>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Basic EPS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 available to common stockholders</w:t>
            </w:r>
          </w:p>
        </w:tc>
        <w:tc>
          <w:tcPr>
            <w:tcW w:w="60" w:type="dxa"/>
            <w:tcBorders/>
            <w:shd w:fill="FFFFFF" w:val="clear"/>
            <w:vAlign w:val="center"/>
          </w:tcPr>
          <w:p>
            <w:pPr>
              <w:pStyle w:val="TableContents"/>
              <w:bidi w:val="0"/>
              <w:spacing w:before="0" w:after="283"/>
              <w:ind w:left="0" w:right="0" w:hanging="0"/>
              <w:jc w:val="left"/>
              <w:rPr/>
            </w:pPr>
            <w:r>
              <w:rPr/>
              <w:t> </w:t>
            </w:r>
          </w:p>
        </w:tc>
        <w:tc>
          <w:tcPr>
            <w:tcW w:w="18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54,214</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11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19,471</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18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w:t>
            </w:r>
          </w:p>
        </w:tc>
        <w:tc>
          <w:tcPr>
            <w:tcW w:w="95" w:type="dxa"/>
            <w:tcBorders/>
            <w:shd w:fill="FFFFFF" w:val="clear"/>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Effect of dilutive securities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RSUs, PSUs, and options</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(0.01</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0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Diluted EPS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 available to common stockholders plus assumed conversions</w:t>
            </w:r>
          </w:p>
        </w:tc>
        <w:tc>
          <w:tcPr>
            <w:tcW w:w="60" w:type="dxa"/>
            <w:tcBorders/>
            <w:shd w:fill="FFFF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54,214</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1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19,554</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sz w:val="20"/>
        </w:rPr>
      </w:pPr>
      <w:r>
        <w:rPr>
          <w:rFonts w:ascii="Times New Roman" w:hAnsi="Times New Roman"/>
          <w:sz w:val="20"/>
        </w:rPr>
        <w:t>126,324 anti-dilutive shares have been excluded in the computation of EPS for the nine months ended June 28, 2025.</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9709" w:type="dxa"/>
        <w:jc w:val="left"/>
        <w:tblInd w:w="0" w:type="dxa"/>
        <w:tblLayout w:type="fixed"/>
        <w:tblCellMar>
          <w:top w:w="0" w:type="dxa"/>
          <w:left w:w="0" w:type="dxa"/>
          <w:bottom w:w="0" w:type="dxa"/>
          <w:right w:w="0" w:type="dxa"/>
        </w:tblCellMar>
      </w:tblPr>
      <w:tblGrid>
        <w:gridCol w:w="6035"/>
        <w:gridCol w:w="60"/>
        <w:gridCol w:w="189"/>
        <w:gridCol w:w="895"/>
        <w:gridCol w:w="83"/>
        <w:gridCol w:w="83"/>
        <w:gridCol w:w="116"/>
        <w:gridCol w:w="1148"/>
        <w:gridCol w:w="83"/>
        <w:gridCol w:w="83"/>
        <w:gridCol w:w="212"/>
        <w:gridCol w:w="647"/>
        <w:gridCol w:w="75"/>
      </w:tblGrid>
      <w:tr>
        <w:trPr/>
        <w:tc>
          <w:tcPr>
            <w:tcW w:w="6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539"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29, 2024</w:t>
            </w:r>
          </w:p>
        </w:tc>
        <w:tc>
          <w:tcPr>
            <w:tcW w:w="75" w:type="dxa"/>
            <w:tcBorders/>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Income</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ind w:left="0" w:right="0" w:hanging="0"/>
              <w:jc w:val="left"/>
              <w:rPr/>
            </w:pPr>
            <w:r>
              <w:rPr/>
              <w:t> </w:t>
            </w:r>
          </w:p>
        </w:tc>
        <w:tc>
          <w:tcPr>
            <w:tcW w:w="12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ind w:left="0" w:right="0" w:hanging="0"/>
              <w:jc w:val="left"/>
              <w:rPr/>
            </w:pPr>
            <w:r>
              <w:rPr/>
              <w:t> </w:t>
            </w:r>
          </w:p>
        </w:tc>
        <w:tc>
          <w:tcPr>
            <w:tcW w:w="85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 Share</w:t>
            </w:r>
          </w:p>
        </w:tc>
        <w:tc>
          <w:tcPr>
            <w:tcW w:w="75" w:type="dxa"/>
            <w:tcBorders/>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(Numerator)</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(Denominator)</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75" w:type="dxa"/>
            <w:tcBorders/>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539" w:type="dxa"/>
            <w:gridSpan w:val="1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per share amounts)</w:t>
            </w:r>
          </w:p>
        </w:tc>
        <w:tc>
          <w:tcPr>
            <w:tcW w:w="75" w:type="dxa"/>
            <w:tcBorders/>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Basic EPS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 available to common stockholders</w:t>
            </w:r>
          </w:p>
        </w:tc>
        <w:tc>
          <w:tcPr>
            <w:tcW w:w="60" w:type="dxa"/>
            <w:tcBorders/>
            <w:shd w:fill="FFFFFF" w:val="clear"/>
            <w:vAlign w:val="center"/>
          </w:tcPr>
          <w:p>
            <w:pPr>
              <w:pStyle w:val="TableContents"/>
              <w:bidi w:val="0"/>
              <w:spacing w:before="0" w:after="283"/>
              <w:ind w:left="0" w:right="0" w:hanging="0"/>
              <w:jc w:val="left"/>
              <w:rPr/>
            </w:pPr>
            <w:r>
              <w:rPr/>
              <w:t> </w:t>
            </w:r>
          </w:p>
        </w:tc>
        <w:tc>
          <w:tcPr>
            <w:tcW w:w="18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36,299</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11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19,396</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c>
          <w:tcPr>
            <w:tcW w:w="21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w:t>
            </w:r>
          </w:p>
        </w:tc>
        <w:tc>
          <w:tcPr>
            <w:tcW w:w="75" w:type="dxa"/>
            <w:tcBorders/>
            <w:shd w:fill="FFFFFF" w:val="clear"/>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Effect of dilutive securities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RSUs and options</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Diluted EPS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 available to common stockholders plus assumed conversions</w:t>
            </w:r>
          </w:p>
        </w:tc>
        <w:tc>
          <w:tcPr>
            <w:tcW w:w="60" w:type="dxa"/>
            <w:tcBorders/>
            <w:shd w:fill="FFFF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36,299</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1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19,456</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c>
          <w:tcPr>
            <w:tcW w:w="21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1080" w:right="0" w:hanging="0"/>
        <w:jc w:val="left"/>
        <w:rPr>
          <w:rFonts w:ascii="Times New Roman" w:hAnsi="Times New Roman"/>
          <w:sz w:val="20"/>
        </w:rPr>
      </w:pPr>
      <w:r>
        <w:rPr>
          <w:rFonts w:ascii="Times New Roman" w:hAnsi="Times New Roman"/>
          <w:sz w:val="20"/>
        </w:rPr>
        <w:t>161,095 anti-dilutive shares have been excluded in the computation of EPS for the three months ended June 29, 2024.</w:t>
      </w:r>
    </w:p>
    <w:p>
      <w:pPr>
        <w:pStyle w:val="TextBody"/>
        <w:bidi w:val="0"/>
        <w:spacing w:before="0" w:after="0"/>
        <w:ind w:left="0" w:right="0" w:hanging="0"/>
        <w:jc w:val="left"/>
        <w:rPr/>
      </w:pPr>
      <w:r>
        <w:rPr/>
        <w:t> </w:t>
      </w:r>
    </w:p>
    <w:tbl>
      <w:tblPr>
        <w:tblW w:w="9709" w:type="dxa"/>
        <w:jc w:val="left"/>
        <w:tblInd w:w="0" w:type="dxa"/>
        <w:tblLayout w:type="fixed"/>
        <w:tblCellMar>
          <w:top w:w="0" w:type="dxa"/>
          <w:left w:w="0" w:type="dxa"/>
          <w:bottom w:w="0" w:type="dxa"/>
          <w:right w:w="0" w:type="dxa"/>
        </w:tblCellMar>
      </w:tblPr>
      <w:tblGrid>
        <w:gridCol w:w="6035"/>
        <w:gridCol w:w="60"/>
        <w:gridCol w:w="189"/>
        <w:gridCol w:w="895"/>
        <w:gridCol w:w="78"/>
        <w:gridCol w:w="78"/>
        <w:gridCol w:w="116"/>
        <w:gridCol w:w="1148"/>
        <w:gridCol w:w="78"/>
        <w:gridCol w:w="78"/>
        <w:gridCol w:w="189"/>
        <w:gridCol w:w="670"/>
        <w:gridCol w:w="95"/>
      </w:tblGrid>
      <w:tr>
        <w:trPr/>
        <w:tc>
          <w:tcPr>
            <w:tcW w:w="6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519"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June 29, 2024</w:t>
            </w:r>
          </w:p>
        </w:tc>
        <w:tc>
          <w:tcPr>
            <w:tcW w:w="95" w:type="dxa"/>
            <w:tcBorders/>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Income</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ind w:left="0" w:right="0" w:hanging="0"/>
              <w:jc w:val="left"/>
              <w:rPr/>
            </w:pPr>
            <w:r>
              <w:rPr/>
              <w:t> </w:t>
            </w:r>
          </w:p>
        </w:tc>
        <w:tc>
          <w:tcPr>
            <w:tcW w:w="12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ind w:left="0" w:right="0" w:hanging="0"/>
              <w:jc w:val="left"/>
              <w:rPr/>
            </w:pPr>
            <w:r>
              <w:rPr/>
              <w:t> </w:t>
            </w:r>
          </w:p>
        </w:tc>
        <w:tc>
          <w:tcPr>
            <w:tcW w:w="85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 Share</w:t>
            </w:r>
          </w:p>
        </w:tc>
        <w:tc>
          <w:tcPr>
            <w:tcW w:w="95" w:type="dxa"/>
            <w:tcBorders/>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(Numerator)</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(Denominator)</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95" w:type="dxa"/>
            <w:tcBorders/>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519" w:type="dxa"/>
            <w:gridSpan w:val="1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per share amounts)</w:t>
            </w:r>
          </w:p>
        </w:tc>
        <w:tc>
          <w:tcPr>
            <w:tcW w:w="95" w:type="dxa"/>
            <w:tcBorders/>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Basic EPS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 available to common stockholders</w:t>
            </w:r>
          </w:p>
        </w:tc>
        <w:tc>
          <w:tcPr>
            <w:tcW w:w="60" w:type="dxa"/>
            <w:tcBorders/>
            <w:shd w:fill="FFFFFF" w:val="clear"/>
            <w:vAlign w:val="center"/>
          </w:tcPr>
          <w:p>
            <w:pPr>
              <w:pStyle w:val="TableContents"/>
              <w:bidi w:val="0"/>
              <w:spacing w:before="0" w:after="283"/>
              <w:ind w:left="0" w:right="0" w:hanging="0"/>
              <w:jc w:val="left"/>
              <w:rPr/>
            </w:pPr>
            <w:r>
              <w:rPr/>
              <w:t> </w:t>
            </w:r>
          </w:p>
        </w:tc>
        <w:tc>
          <w:tcPr>
            <w:tcW w:w="18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56,910</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11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19,373</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18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w:t>
            </w:r>
          </w:p>
        </w:tc>
        <w:tc>
          <w:tcPr>
            <w:tcW w:w="95" w:type="dxa"/>
            <w:tcBorders/>
            <w:shd w:fill="FFFFFF" w:val="clear"/>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Effect of dilutive securities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RSUs and options</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(0.01</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0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Diluted EPS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 available to common stockholders plus assumed conversions</w:t>
            </w:r>
          </w:p>
        </w:tc>
        <w:tc>
          <w:tcPr>
            <w:tcW w:w="60" w:type="dxa"/>
            <w:tcBorders/>
            <w:shd w:fill="FFFF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56,910</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1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19,423</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1080" w:right="0" w:hanging="0"/>
        <w:jc w:val="left"/>
        <w:rPr>
          <w:rFonts w:ascii="Times New Roman" w:hAnsi="Times New Roman"/>
          <w:sz w:val="20"/>
        </w:rPr>
      </w:pPr>
      <w:r>
        <w:rPr>
          <w:rFonts w:ascii="Times New Roman" w:hAnsi="Times New Roman"/>
          <w:sz w:val="20"/>
        </w:rPr>
        <w:t>189,059 anti-dilutive shares have been excluded in the computation of EPS for the nine months ended June 29, 2024.</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left"/>
        <w:rPr/>
      </w:pPr>
      <w:r>
        <w:rPr/>
        <w:t> </w:t>
      </w:r>
    </w:p>
    <w:tbl>
      <w:tblPr>
        <w:tblW w:w="2905" w:type="dxa"/>
        <w:jc w:val="left"/>
        <w:tblInd w:w="0" w:type="dxa"/>
        <w:tblLayout w:type="fixed"/>
        <w:tblCellMar>
          <w:top w:w="0" w:type="dxa"/>
          <w:left w:w="0" w:type="dxa"/>
          <w:bottom w:w="0" w:type="dxa"/>
          <w:right w:w="0" w:type="dxa"/>
        </w:tblCellMar>
      </w:tblPr>
      <w:tblGrid>
        <w:gridCol w:w="560"/>
        <w:gridCol w:w="2345"/>
      </w:tblGrid>
      <w:tr>
        <w:trPr/>
        <w:tc>
          <w:tcPr>
            <w:tcW w:w="56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6</w:t>
            </w:r>
          </w:p>
        </w:tc>
        <w:tc>
          <w:tcPr>
            <w:tcW w:w="234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Share-Based Compensation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As of June 28, 2025, the Company has two stock-based employee compensation plans. Pre-tax share-based compensation expense was recognized as follows:</w:t>
      </w:r>
    </w:p>
    <w:p>
      <w:pPr>
        <w:pStyle w:val="TextBody"/>
        <w:bidi w:val="0"/>
        <w:spacing w:before="0" w:after="0"/>
        <w:ind w:left="0" w:right="0" w:hanging="0"/>
        <w:jc w:val="left"/>
        <w:rPr>
          <w:caps w:val="false"/>
          <w:smallCaps w:val="false"/>
        </w:rPr>
      </w:pPr>
      <w:r>
        <w:rPr>
          <w:caps w:val="false"/>
          <w:smallCaps w:val="false"/>
        </w:rPr>
        <w:t> </w:t>
      </w:r>
    </w:p>
    <w:tbl>
      <w:tblPr>
        <w:tblW w:w="7226" w:type="dxa"/>
        <w:jc w:val="left"/>
        <w:tblInd w:w="0" w:type="dxa"/>
        <w:tblLayout w:type="fixed"/>
        <w:tblCellMar>
          <w:top w:w="0" w:type="dxa"/>
          <w:left w:w="0" w:type="dxa"/>
          <w:bottom w:w="0" w:type="dxa"/>
          <w:right w:w="0" w:type="dxa"/>
        </w:tblCellMar>
      </w:tblPr>
      <w:tblGrid>
        <w:gridCol w:w="3635"/>
        <w:gridCol w:w="60"/>
        <w:gridCol w:w="161"/>
        <w:gridCol w:w="626"/>
        <w:gridCol w:w="77"/>
        <w:gridCol w:w="77"/>
        <w:gridCol w:w="161"/>
        <w:gridCol w:w="626"/>
        <w:gridCol w:w="60"/>
        <w:gridCol w:w="60"/>
        <w:gridCol w:w="150"/>
        <w:gridCol w:w="582"/>
        <w:gridCol w:w="72"/>
        <w:gridCol w:w="72"/>
        <w:gridCol w:w="150"/>
        <w:gridCol w:w="582"/>
        <w:gridCol w:w="75"/>
      </w:tblGrid>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2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0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tc>
        <w:tc>
          <w:tcPr>
            <w:tcW w:w="75" w:type="dxa"/>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7"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ind w:left="0" w:right="0" w:hanging="0"/>
              <w:jc w:val="left"/>
              <w:rPr/>
            </w:pPr>
            <w:r>
              <w:rPr/>
              <w:t> </w:t>
            </w:r>
          </w:p>
        </w:tc>
        <w:tc>
          <w:tcPr>
            <w:tcW w:w="787"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32"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ind w:left="0" w:right="0" w:hanging="0"/>
              <w:jc w:val="left"/>
              <w:rPr/>
            </w:pPr>
            <w:r>
              <w:rPr/>
              <w:t> </w:t>
            </w:r>
          </w:p>
        </w:tc>
        <w:tc>
          <w:tcPr>
            <w:tcW w:w="732"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29,</w:t>
            </w:r>
          </w:p>
        </w:tc>
        <w:tc>
          <w:tcPr>
            <w:tcW w:w="75" w:type="dxa"/>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ind w:left="0" w:right="0" w:hanging="0"/>
              <w:jc w:val="left"/>
              <w:rPr/>
            </w:pPr>
            <w:r>
              <w:rPr/>
              <w:t> </w:t>
            </w:r>
          </w:p>
        </w:tc>
        <w:tc>
          <w:tcPr>
            <w:tcW w:w="7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ind w:left="0" w:right="0" w:hanging="0"/>
              <w:jc w:val="left"/>
              <w:rPr/>
            </w:pPr>
            <w:r>
              <w:rPr/>
              <w:t> </w:t>
            </w:r>
          </w:p>
        </w:tc>
        <w:tc>
          <w:tcPr>
            <w:tcW w:w="7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75" w:type="dxa"/>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28"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(in thousands)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08"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(in thousands) </w:t>
            </w:r>
          </w:p>
        </w:tc>
        <w:tc>
          <w:tcPr>
            <w:tcW w:w="75" w:type="dxa"/>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626"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6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58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582"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options</w:t>
            </w:r>
          </w:p>
        </w:tc>
        <w:tc>
          <w:tcPr>
            <w:tcW w:w="60" w:type="dxa"/>
            <w:tcBorders/>
            <w:shd w:fill="CCEEFF" w:val="clear"/>
            <w:vAlign w:val="center"/>
          </w:tcPr>
          <w:p>
            <w:pPr>
              <w:pStyle w:val="TableContents"/>
              <w:bidi w:val="0"/>
              <w:spacing w:before="0" w:after="283"/>
              <w:ind w:left="0" w:right="0" w:hanging="0"/>
              <w:jc w:val="left"/>
              <w:rPr/>
            </w:pPr>
            <w:r>
              <w:rPr/>
              <w:t> </w:t>
            </w:r>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416</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15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1,171</w:t>
            </w:r>
          </w:p>
        </w:tc>
        <w:tc>
          <w:tcPr>
            <w:tcW w:w="75"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purchase plan</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6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6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5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5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w:t>
            </w:r>
          </w:p>
        </w:tc>
        <w:tc>
          <w:tcPr>
            <w:tcW w:w="75"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issued to outside directors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6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6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5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5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w:t>
            </w:r>
          </w:p>
        </w:tc>
        <w:tc>
          <w:tcPr>
            <w:tcW w:w="75"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 share units issued to employees</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6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1,084</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6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5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2,679</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5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1,763</w:t>
            </w:r>
          </w:p>
        </w:tc>
        <w:tc>
          <w:tcPr>
            <w:tcW w:w="75"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Performance share units issued to employees</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1,046</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1,394</w:t>
            </w:r>
          </w:p>
        </w:tc>
        <w:tc>
          <w:tcPr>
            <w:tcW w:w="75"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share-based compensation</w:t>
            </w:r>
          </w:p>
        </w:tc>
        <w:tc>
          <w:tcPr>
            <w:tcW w:w="60" w:type="dxa"/>
            <w:tcBorders/>
            <w:shd w:fill="FFFFFF" w:val="clear"/>
            <w:vAlign w:val="center"/>
          </w:tcPr>
          <w:p>
            <w:pPr>
              <w:pStyle w:val="TableContents"/>
              <w:bidi w:val="0"/>
              <w:spacing w:before="0" w:after="283"/>
              <w:ind w:left="0" w:right="0" w:hanging="0"/>
              <w:jc w:val="left"/>
              <w:rPr/>
            </w:pPr>
            <w:r>
              <w:rPr/>
              <w:t> </w:t>
            </w:r>
          </w:p>
        </w:tc>
        <w:tc>
          <w:tcPr>
            <w:tcW w:w="16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1,827</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6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4,580</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4,841</w:t>
            </w:r>
          </w:p>
        </w:tc>
        <w:tc>
          <w:tcPr>
            <w:tcW w:w="75"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626"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62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58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582"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benefits</w:t>
            </w:r>
          </w:p>
        </w:tc>
        <w:tc>
          <w:tcPr>
            <w:tcW w:w="60" w:type="dxa"/>
            <w:tcBorders/>
            <w:shd w:fill="FFFFFF" w:val="clear"/>
            <w:vAlign w:val="center"/>
          </w:tcPr>
          <w:p>
            <w:pPr>
              <w:pStyle w:val="TableContents"/>
              <w:bidi w:val="0"/>
              <w:spacing w:before="0" w:after="283"/>
              <w:ind w:left="0" w:right="0" w:hanging="0"/>
              <w:jc w:val="left"/>
              <w:rPr/>
            </w:pPr>
            <w:r>
              <w:rPr/>
              <w:t> </w:t>
            </w:r>
          </w:p>
        </w:tc>
        <w:tc>
          <w:tcPr>
            <w:tcW w:w="16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6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1,139</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15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fair value of each option grant is estimated on the date of grant using the Black-Scholes options-pricing model.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Expected volatility is based on the historical volatility of the price of our common shares over the past 51 months for 5-year options and 10 years for 10-year options. We use historical information to estimate expected life and forfeitures within the valuation model. The expected term of awards represents the period of time that options granted are expected to be outstanding. The risk-free rate for periods within the expected life of the option is based on the U.S. Treasury yield curve in effect at the time of grant. Compensation cost is recognized using a straight-line method over the vesting or service period and is net of estimated forfeitures.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Company did not grant any stock options during the nine months ended June 28, 2025, or during the nine months ended June 29,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During the three and nine months ended June 28, 2025, the Company issued 21,311 and 34,868 service share units (“RSU”)s, respectively. During the three and nine months ended June 29, 2024, the Company issued 14,441 and 25,987 RSUs, respectively. Each RSU entitles the awardee to one share of common stock upon vesting. The fair value of the RSUs was determined based upon the closing price of the Company’s common stock on the date of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During the three and nine months ended June 28, 2025, the Company issued 3,951 and 17,500 performance share units (“PSU”)s. During the three and nine months ended June 29, 2024, the Company issued 2,968 and 14,506 PSUs, respectively. Each PSU may result in the issuance of up to two shares of common stock upon vesting, dependent upon the level of achievement of the applicable Performance Goal. The fair value of the PSUs was determined based upon the closing price of the Company’s common stock on the date of grant. Additionally, the Company applies a quarterly probability assessment in computing this non-cash compensation expense, and any change in estimate is reflected as a cumulative adjustment to expense in the quarter of the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jc w:val="left"/>
        <w:rPr/>
      </w:pPr>
      <w:r>
        <w:rPr/>
        <w:t> </w:t>
      </w:r>
    </w:p>
    <w:tbl>
      <w:tblPr>
        <w:tblW w:w="1765" w:type="dxa"/>
        <w:jc w:val="left"/>
        <w:tblInd w:w="0" w:type="dxa"/>
        <w:tblLayout w:type="fixed"/>
        <w:tblCellMar>
          <w:top w:w="0" w:type="dxa"/>
          <w:left w:w="0" w:type="dxa"/>
          <w:bottom w:w="0" w:type="dxa"/>
          <w:right w:w="0" w:type="dxa"/>
        </w:tblCellMar>
      </w:tblPr>
      <w:tblGrid>
        <w:gridCol w:w="560"/>
        <w:gridCol w:w="1205"/>
      </w:tblGrid>
      <w:tr>
        <w:trPr/>
        <w:tc>
          <w:tcPr>
            <w:tcW w:w="56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7</w:t>
            </w:r>
          </w:p>
        </w:tc>
        <w:tc>
          <w:tcPr>
            <w:tcW w:w="12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Taxes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We account for our income taxes under the liability method. Under the liability method, deferred tax assets and liabilities are determined based on the difference between the financial statement and tax bases of assets and liabilities as measured by the enacted tax rates that will be in effect when these differences reverse. Deferred tax expense is the result of changes in deferred tax assets and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Additionally, we recognize a liability for income taxes and associated penalties and interest for tax positions taken or expected to be taken in a tax return which are more likely than not to be overturned by taxing authorities (“uncertain tax positions”). We have not recognized a tax benefit in our financial statements for these uncertain tax positions.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total amount of gross unrecognized tax benefits is $0.3 million on both June 28, 2025 and September 28, 2024, all of which would impact our effective tax rate over time, if recognized. We recognize interest and penalties related to uncertain tax positions as a part of the provision for income taxes. As of June 28, 2025 and September 28, 2024, the Company has $0.3 million of accrued interest and penalties, respectively.</w:t>
      </w:r>
    </w:p>
    <w:p>
      <w:pPr>
        <w:pStyle w:val="TextBody"/>
        <w:bidi w:val="0"/>
        <w:spacing w:before="0" w:after="0"/>
        <w:ind w:left="0" w:right="0" w:hanging="0"/>
        <w:jc w:val="left"/>
        <w:rPr/>
      </w:pPr>
      <w:r>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In addition to our federal tax return and tax returns for Mexico and Canada, we file tax returns in all states that have a corporate income tax. Virtually all the returns noted above are open for examination for three to four years.</w:t>
      </w:r>
    </w:p>
    <w:p>
      <w:pPr>
        <w:pStyle w:val="TextBody"/>
        <w:bidi w:val="0"/>
        <w:spacing w:before="0" w:after="0"/>
        <w:ind w:left="0" w:right="0" w:hanging="0"/>
        <w:jc w:val="left"/>
        <w:rPr/>
      </w:pPr>
      <w:r>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Our effective tax rate for the three months and nine month ended June 28, 2025 was 27.2%, which is higher than the company’s 21.0% statutory tax rate primarily as a result of state income taxes, and the tax effect in foreign jurisdictions. Our effective tax rate was 27.9% and 27.4% in the three and nine months ended June 29, 2024, which was higher than the company’s 21.0% statutory tax rate primarily as a result of state income taxes, and the tax effect in foreign jurisdictions.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On July 4, 2025, the United State government enacted into law the One Big Beautiful Bill Act (the “OBBB”). The OBBB includes a broad range of tax reform provisions affecting businesses and the Company is currently evaluating the potential impact that the OBBB will have on its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4510" w:type="dxa"/>
        <w:jc w:val="left"/>
        <w:tblInd w:w="0" w:type="dxa"/>
        <w:tblLayout w:type="fixed"/>
        <w:tblCellMar>
          <w:top w:w="0" w:type="dxa"/>
          <w:left w:w="0" w:type="dxa"/>
          <w:bottom w:w="0" w:type="dxa"/>
          <w:right w:w="0" w:type="dxa"/>
        </w:tblCellMar>
      </w:tblPr>
      <w:tblGrid>
        <w:gridCol w:w="605"/>
        <w:gridCol w:w="3905"/>
      </w:tblGrid>
      <w:tr>
        <w:trPr/>
        <w:tc>
          <w:tcPr>
            <w:tcW w:w="6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Note 8 </w:t>
            </w:r>
          </w:p>
        </w:tc>
        <w:tc>
          <w:tcPr>
            <w:tcW w:w="39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New Accounting Pronouncements and Policies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In November 2023, the FASB issued ASU No. 2023-07 “Segment Reporting (Topic 280): Improvements to Reportable Segment Disclosures.” This guidance requires all public entities to provide enhanced disclosures about significant segment expenses. The amendments in this ASU are to be applied retrospectively and are effective for fiscal years beginning after December 15, 2023 and for interim periods within fiscal years beginning after December 15, 2024. We are currently assessing the impact of the guidance on our consolidated financial statements and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In December 2023, the FASB issued ASU No. 2023-09 “Income Taxes (Topic 740): Improvements to Income Tax Disclosures.” This guidance enhances the transparency around income tax information through improvements to income tax disclosures, primarily related to the effective rate reconciliation and income taxes paid, to improve the overall effectiveness of income tax disclosures. The amendments in the ASU are effective for fiscal years beginning after December 15, 2024, with early adoption permitted. We are currently assessing the impact of the guidance on our consolidated financial statements and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In November 2024, the FASB issued ASU No. 2024-03, “Income Statement – Reporting Comprehensive Income – Expense Disaggregation Disclosures.” This guidance improves disclosure requirements and provides more detailed information around an entity’s expenses, specifically amounts related to purchases of inventory, employee compensation, depreciation, intangible asset amortization, and selling expenses, along with qualitative descriptions of certain other types of expenses. This guidance is effective for fiscal years beginning after December 15, 2026, and interim periods within fiscal years beginning after December 15, 2027, with early adoption permitted. We are currently assessing the impact of the guidance on our consolidated financial statements and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jc w:val="left"/>
        <w:rPr/>
      </w:pPr>
      <w:r>
        <w:rPr/>
        <w:t> </w:t>
      </w:r>
    </w:p>
    <w:tbl>
      <w:tblPr>
        <w:tblW w:w="2005" w:type="dxa"/>
        <w:jc w:val="left"/>
        <w:tblInd w:w="0" w:type="dxa"/>
        <w:tblLayout w:type="fixed"/>
        <w:tblCellMar>
          <w:top w:w="0" w:type="dxa"/>
          <w:left w:w="0" w:type="dxa"/>
          <w:bottom w:w="0" w:type="dxa"/>
          <w:right w:w="0" w:type="dxa"/>
        </w:tblCellMar>
      </w:tblPr>
      <w:tblGrid>
        <w:gridCol w:w="560"/>
        <w:gridCol w:w="1445"/>
      </w:tblGrid>
      <w:tr>
        <w:trPr/>
        <w:tc>
          <w:tcPr>
            <w:tcW w:w="56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9</w:t>
            </w:r>
          </w:p>
        </w:tc>
        <w:tc>
          <w:tcPr>
            <w:tcW w:w="144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Long-Term Debt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In December 2021, the Company entered into an amended and restated loan agreement (the “Credit Agreement”) with our existing banks which provided for up to a $50 million revolving credit facility repayable in December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Interest accrues, at the Company’s election at (i) the BSBY Rate (as defined in the Credit Agreement), plus an applicable margin, based upon the Consolidated Net Leverage Ratio, as defined in the Credit Agreement, or (ii) the Alternate Base Rate (a rate based on the higher of (a) the prime rate announced from time-to-time by the Administrative Agent, (b) the Federal Reserve System’s federal funds rate, plus 0.50% or (c) the Daily BSBY Rate, plus an applicable margin). The Alternate Base Rate is defined in the Credit Agreement.</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Credit Agreement requires the Company to comply with various affirmative and negative covenants, including without limitation (i) covenants to maintain a minimum specified interest coverage ratio and maximum specified net leverage ratio, and (ii) subject to certain exceptions, covenants that prevent or restrict the Company’s ability to pay dividends, engage in certain mergers or acquisitions, make certain investments or loans, incur future indebtedness, alter its capital structure or line of business, prepay subordinated indebtedness, engage in certain transactions with affiliates, or amend its organizational documents. As of June 28, 2025, the Company is in compliance with all financial covenants and terms of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On June 21, 2022, the Company entered into an amendment to the Credit Agreement, the “Amended Credit Agreement” which provided for an incremental increase of $175 million in available borrowings. The Amended Credit Agreement also includes an option to increase the size of the revolving credit facility by up to an amount not to exceed in the aggregate the greater of $225 million or, $50 million plus the Consolidated EBITDA of the Borrowers, subject to the satisfaction of certain 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As of June 28, 2025, and as of September 28, 2024, there was no outstanding balance under the Amended Credit Agreement. As of June 28, 2025, and as of September 28, 2024, the amount available under the Amended Credit Agreement was $212.7 million, after giving effect to the outstanding letters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525" w:type="dxa"/>
        <w:jc w:val="left"/>
        <w:tblInd w:w="0" w:type="dxa"/>
        <w:tblLayout w:type="fixed"/>
        <w:tblCellMar>
          <w:top w:w="0" w:type="dxa"/>
          <w:left w:w="0" w:type="dxa"/>
          <w:bottom w:w="0" w:type="dxa"/>
          <w:right w:w="0" w:type="dxa"/>
        </w:tblCellMar>
      </w:tblPr>
      <w:tblGrid>
        <w:gridCol w:w="665"/>
        <w:gridCol w:w="860"/>
      </w:tblGrid>
      <w:tr>
        <w:trPr/>
        <w:tc>
          <w:tcPr>
            <w:tcW w:w="6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10</w:t>
            </w:r>
          </w:p>
        </w:tc>
        <w:tc>
          <w:tcPr>
            <w:tcW w:w="86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Inventory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Inventories consist of the following:</w:t>
      </w:r>
    </w:p>
    <w:p>
      <w:pPr>
        <w:pStyle w:val="TextBody"/>
        <w:bidi w:val="0"/>
        <w:spacing w:before="0" w:after="0"/>
        <w:ind w:left="0" w:right="0" w:hanging="0"/>
        <w:jc w:val="left"/>
        <w:rPr>
          <w:caps w:val="false"/>
          <w:smallCaps w:val="false"/>
        </w:rPr>
      </w:pPr>
      <w:r>
        <w:rPr>
          <w:caps w:val="false"/>
          <w:smallCaps w:val="false"/>
        </w:rPr>
        <w:t> </w:t>
      </w:r>
    </w:p>
    <w:tbl>
      <w:tblPr>
        <w:tblW w:w="4603" w:type="dxa"/>
        <w:jc w:val="left"/>
        <w:tblInd w:w="0" w:type="dxa"/>
        <w:tblLayout w:type="fixed"/>
        <w:tblCellMar>
          <w:top w:w="0" w:type="dxa"/>
          <w:left w:w="0" w:type="dxa"/>
          <w:bottom w:w="0" w:type="dxa"/>
          <w:right w:w="0" w:type="dxa"/>
        </w:tblCellMar>
      </w:tblPr>
      <w:tblGrid>
        <w:gridCol w:w="2165"/>
        <w:gridCol w:w="60"/>
        <w:gridCol w:w="149"/>
        <w:gridCol w:w="830"/>
        <w:gridCol w:w="60"/>
        <w:gridCol w:w="60"/>
        <w:gridCol w:w="185"/>
        <w:gridCol w:w="1034"/>
        <w:gridCol w:w="60"/>
      </w:tblGrid>
      <w:tr>
        <w:trPr/>
        <w:tc>
          <w:tcPr>
            <w:tcW w:w="2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28,</w:t>
            </w:r>
          </w:p>
        </w:tc>
        <w:tc>
          <w:tcPr>
            <w:tcW w:w="60"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03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18"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0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Finished goods</w:t>
            </w:r>
          </w:p>
        </w:tc>
        <w:tc>
          <w:tcPr>
            <w:tcW w:w="60" w:type="dxa"/>
            <w:tcBorders/>
            <w:shd w:fill="CCEEFF" w:val="clear"/>
            <w:vAlign w:val="center"/>
          </w:tcPr>
          <w:p>
            <w:pPr>
              <w:pStyle w:val="TableContents"/>
              <w:bidi w:val="0"/>
              <w:spacing w:before="0" w:after="283"/>
              <w:ind w:left="0" w:right="0" w:hanging="0"/>
              <w:jc w:val="left"/>
              <w:rPr/>
            </w:pPr>
            <w:r>
              <w:rPr/>
              <w:t> </w:t>
            </w:r>
          </w:p>
        </w:tc>
        <w:tc>
          <w:tcPr>
            <w:tcW w:w="1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98,743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86,470</w:t>
            </w:r>
          </w:p>
        </w:tc>
        <w:tc>
          <w:tcPr>
            <w:tcW w:w="60" w:type="dxa"/>
            <w:tcBorders/>
            <w:shd w:fill="CCEEFF" w:val="cle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Raw materials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29,830</w:t>
            </w:r>
          </w:p>
        </w:tc>
        <w:tc>
          <w:tcPr>
            <w:tcW w:w="60" w:type="dxa"/>
            <w:tcBorders/>
            <w:shd w:fill="FFFFFF" w:val="clear"/>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Packaging materials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12,649</w:t>
            </w:r>
          </w:p>
        </w:tc>
        <w:tc>
          <w:tcPr>
            <w:tcW w:w="60" w:type="dxa"/>
            <w:tcBorders/>
            <w:shd w:fill="CCEEFF" w:val="cle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Equipment parts and other</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42,917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44,192</w:t>
            </w:r>
          </w:p>
        </w:tc>
        <w:tc>
          <w:tcPr>
            <w:tcW w:w="60" w:type="dxa"/>
            <w:tcBorders/>
            <w:shd w:fill="FFFFFF" w:val="clear"/>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inventories</w:t>
            </w:r>
          </w:p>
        </w:tc>
        <w:tc>
          <w:tcPr>
            <w:tcW w:w="60" w:type="dxa"/>
            <w:tcBorders/>
            <w:shd w:fill="CCEEFF" w:val="clear"/>
            <w:vAlign w:val="center"/>
          </w:tcPr>
          <w:p>
            <w:pPr>
              <w:pStyle w:val="TableContents"/>
              <w:bidi w:val="0"/>
              <w:spacing w:before="0" w:after="283"/>
              <w:ind w:left="0" w:right="0" w:hanging="0"/>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194,965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173,141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485" w:type="dxa"/>
        <w:jc w:val="left"/>
        <w:tblInd w:w="0" w:type="dxa"/>
        <w:tblLayout w:type="fixed"/>
        <w:tblCellMar>
          <w:top w:w="0" w:type="dxa"/>
          <w:left w:w="0" w:type="dxa"/>
          <w:bottom w:w="0" w:type="dxa"/>
          <w:right w:w="0" w:type="dxa"/>
        </w:tblCellMar>
      </w:tblPr>
      <w:tblGrid>
        <w:gridCol w:w="665"/>
        <w:gridCol w:w="1820"/>
      </w:tblGrid>
      <w:tr>
        <w:trPr/>
        <w:tc>
          <w:tcPr>
            <w:tcW w:w="6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11</w:t>
            </w:r>
          </w:p>
        </w:tc>
        <w:tc>
          <w:tcPr>
            <w:tcW w:w="182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Segment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Our reportable segments are Food Service, Retail Supermarkets, and Frozen Beverages. We principally sell our products to the food service and retail supermarket industries. Sales and results of our frozen beverages business are monitored separately from the balance of our food service business because of different distribution and capital requirements. We maintain separate and discrete financial information for the three operating segments mentioned below which is available to our Chief Operating Decision Maker.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All inter-segment net sales and expenses have been eliminated in computing net sales and operating income. These segments are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Food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primary products sold by the Food Service segment are soft pretzels, frozen novelties, churros, handheld products and baked goods. Our customers in the Food Service segment include snack bars and food stands in chain, department and discount stores; malls and shopping centers; casual dining restaurants; fast food and casual dining restaurants; stadiums and sports arenas; leisure and theme parks; convenience stores; movie theatres; warehouse club stores; schools, colleges and other institutions. Within the food service industry, our products are purchased by the consumer primarily for consumption at the point-of-sale or for take-away.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 xml:space="preserve">Retail Supermarkets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primary products sold to the retail supermarket channel are soft pretzel products – including SUPERPRETZEL and AUNTIE ANNE’S, frozen novelties including LUIGI’S Real Italian Ice, MINUTE MAID Juice Bars and Soft Frozen Lemonade, WHOLE FRUIT frozen fruit bars and sorbet, DOGSTERS ice cream style treats for dogs, PHILLY SWIRL cups and sticks, ICEE Squeeze-Up Tubes, DIPPIN’ DOTS Sundaes and handheld products. Within the retail supermarket channel, our frozen and prepackaged products are purchased by the consumer for consumption at home.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08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Frozen Beverages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We sell frozen beverages to the foodservice industry primarily under the names ICEE, SLUSH PUPPIE and PARROT ICE in the United States, Mexico and Canada. We also provide repair and maintenance services to customers for customer-owned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Chief Operating Decision Maker for Food Service, Retail Supermarkets and Frozen Beverages reviews monthly detailed operating income statements and sales reports in order to assess performance and allocate resources to each individual segment. Sales and operating income are key variables monitored by the Chief Operating Decision Maker and management when determining each segment’s and the company’s financial condition and operating performance. In addition, the Chief Operating Decision Maker reviews and evaluates depreciation, capital spending and assets of each segment on a quarterly basis to monitor cash flow and asset needs of each segment. Information regarding the operations in these three reportable segments is as follows:</w:t>
      </w:r>
    </w:p>
    <w:p>
      <w:pPr>
        <w:pStyle w:val="TextBody"/>
        <w:bidi w:val="0"/>
        <w:spacing w:before="0" w:after="0"/>
        <w:ind w:left="0" w:right="0" w:hanging="0"/>
        <w:jc w:val="left"/>
        <w:rPr>
          <w:caps w:val="false"/>
          <w:smallCaps w:val="false"/>
        </w:rPr>
      </w:pPr>
      <w:r>
        <w:rPr>
          <w:caps w:val="false"/>
          <w:smallCaps w:val="false"/>
        </w:rPr>
        <w:t> </w:t>
      </w:r>
    </w:p>
    <w:tbl>
      <w:tblPr>
        <w:tblW w:w="7415" w:type="dxa"/>
        <w:jc w:val="left"/>
        <w:tblInd w:w="0" w:type="dxa"/>
        <w:tblLayout w:type="fixed"/>
        <w:tblCellMar>
          <w:top w:w="0" w:type="dxa"/>
          <w:left w:w="0" w:type="dxa"/>
          <w:bottom w:w="0" w:type="dxa"/>
          <w:right w:w="0" w:type="dxa"/>
        </w:tblCellMar>
      </w:tblPr>
      <w:tblGrid>
        <w:gridCol w:w="2960"/>
        <w:gridCol w:w="60"/>
        <w:gridCol w:w="125"/>
        <w:gridCol w:w="845"/>
        <w:gridCol w:w="80"/>
        <w:gridCol w:w="60"/>
        <w:gridCol w:w="125"/>
        <w:gridCol w:w="845"/>
        <w:gridCol w:w="80"/>
        <w:gridCol w:w="60"/>
        <w:gridCol w:w="125"/>
        <w:gridCol w:w="845"/>
        <w:gridCol w:w="80"/>
        <w:gridCol w:w="60"/>
        <w:gridCol w:w="125"/>
        <w:gridCol w:w="845"/>
        <w:gridCol w:w="95"/>
      </w:tblGrid>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8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8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tc>
        <w:tc>
          <w:tcPr>
            <w:tcW w:w="95"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29,</w:t>
            </w:r>
          </w:p>
        </w:tc>
        <w:tc>
          <w:tcPr>
            <w:tcW w:w="95"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95"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80"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80"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95"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80"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80"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95"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to external customers: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Food Service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Soft pretzels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67,142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59,529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169,693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163,985</w:t>
            </w:r>
          </w:p>
        </w:tc>
        <w:tc>
          <w:tcPr>
            <w:tcW w:w="9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Frozen novelties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52,804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104,764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100,464</w:t>
            </w:r>
          </w:p>
        </w:tc>
        <w:tc>
          <w:tcPr>
            <w:tcW w:w="9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Churros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76,803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89,155</w:t>
            </w:r>
          </w:p>
        </w:tc>
        <w:tc>
          <w:tcPr>
            <w:tcW w:w="9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Handhelds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67,348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62,851</w:t>
            </w:r>
          </w:p>
        </w:tc>
        <w:tc>
          <w:tcPr>
            <w:tcW w:w="9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Bakery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101,744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93,566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304,497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287,455</w:t>
            </w:r>
          </w:p>
        </w:tc>
        <w:tc>
          <w:tcPr>
            <w:tcW w:w="9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19,135</w:t>
            </w:r>
          </w:p>
        </w:tc>
        <w:tc>
          <w:tcPr>
            <w:tcW w:w="9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Food Service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277,170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264,446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742,106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723,045</w:t>
            </w:r>
          </w:p>
        </w:tc>
        <w:tc>
          <w:tcPr>
            <w:tcW w:w="9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Retail Supermarket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Soft pretzels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46,010</w:t>
            </w:r>
          </w:p>
        </w:tc>
        <w:tc>
          <w:tcPr>
            <w:tcW w:w="9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Frozen novelties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85,558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82,747</w:t>
            </w:r>
          </w:p>
        </w:tc>
        <w:tc>
          <w:tcPr>
            <w:tcW w:w="9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Biscuits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18,078</w:t>
            </w:r>
          </w:p>
        </w:tc>
        <w:tc>
          <w:tcPr>
            <w:tcW w:w="9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Handhelds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20,266</w:t>
            </w:r>
          </w:p>
        </w:tc>
        <w:tc>
          <w:tcPr>
            <w:tcW w:w="9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Coupon redemption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(2,032</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w:t>
            </w:r>
          </w:p>
        </w:tc>
        <w:tc>
          <w:tcPr>
            <w:tcW w:w="9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Retail Supermarket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63,860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68,723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162,425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165,372</w:t>
            </w:r>
          </w:p>
        </w:tc>
        <w:tc>
          <w:tcPr>
            <w:tcW w:w="9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Frozen Beverages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Beverages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71,040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72,092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157,197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158,708</w:t>
            </w:r>
          </w:p>
        </w:tc>
        <w:tc>
          <w:tcPr>
            <w:tcW w:w="9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Repair and maintenance service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72,232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71,538</w:t>
            </w:r>
          </w:p>
        </w:tc>
        <w:tc>
          <w:tcPr>
            <w:tcW w:w="9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Machines 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26,879</w:t>
            </w:r>
          </w:p>
        </w:tc>
        <w:tc>
          <w:tcPr>
            <w:tcW w:w="9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2,457</w:t>
            </w:r>
          </w:p>
        </w:tc>
        <w:tc>
          <w:tcPr>
            <w:tcW w:w="9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Frozen Beverages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113,263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106,788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268,459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259,582</w:t>
            </w:r>
          </w:p>
        </w:tc>
        <w:tc>
          <w:tcPr>
            <w:tcW w:w="9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454,293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439,957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1,172,990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1,147,999</w:t>
            </w:r>
          </w:p>
        </w:tc>
        <w:tc>
          <w:tcPr>
            <w:tcW w:w="9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Food Service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33,976</w:t>
            </w:r>
          </w:p>
        </w:tc>
        <w:tc>
          <w:tcPr>
            <w:tcW w:w="9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Retail Supermarket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1,448</w:t>
            </w:r>
          </w:p>
        </w:tc>
        <w:tc>
          <w:tcPr>
            <w:tcW w:w="9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Frozen Beverages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16,961</w:t>
            </w:r>
          </w:p>
        </w:tc>
        <w:tc>
          <w:tcPr>
            <w:tcW w:w="9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depreciation and amortization</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54,167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52,385</w:t>
            </w:r>
          </w:p>
        </w:tc>
        <w:tc>
          <w:tcPr>
            <w:tcW w:w="9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Food Service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34,194</w:t>
            </w:r>
          </w:p>
        </w:tc>
        <w:tc>
          <w:tcPr>
            <w:tcW w:w="9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Retail Supermarket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13,374</w:t>
            </w:r>
          </w:p>
        </w:tc>
        <w:tc>
          <w:tcPr>
            <w:tcW w:w="9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Frozen Beverages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30,135</w:t>
            </w:r>
          </w:p>
        </w:tc>
        <w:tc>
          <w:tcPr>
            <w:tcW w:w="9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50,116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72,859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77,703</w:t>
            </w:r>
          </w:p>
        </w:tc>
        <w:tc>
          <w:tcPr>
            <w:tcW w:w="9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 expenditures: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Food Service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33,946</w:t>
            </w:r>
          </w:p>
        </w:tc>
        <w:tc>
          <w:tcPr>
            <w:tcW w:w="9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Retail Supermarket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9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Frozen Beverages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22,423</w:t>
            </w:r>
          </w:p>
        </w:tc>
        <w:tc>
          <w:tcPr>
            <w:tcW w:w="9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capital expenditures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61,264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56,371</w:t>
            </w:r>
          </w:p>
        </w:tc>
        <w:tc>
          <w:tcPr>
            <w:tcW w:w="9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Food Service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1,010,849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991,815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1,010,849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991,815</w:t>
            </w:r>
          </w:p>
        </w:tc>
        <w:tc>
          <w:tcPr>
            <w:tcW w:w="9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Retail Supermarket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33,116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33,116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36,719</w:t>
            </w:r>
          </w:p>
        </w:tc>
        <w:tc>
          <w:tcPr>
            <w:tcW w:w="9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Frozen Beverages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369,964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352,141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369,964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352,141</w:t>
            </w:r>
          </w:p>
        </w:tc>
        <w:tc>
          <w:tcPr>
            <w:tcW w:w="9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1,413,929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1,380,675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1,413,929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1,380,675</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jc w:val="left"/>
        <w:rPr/>
      </w:pPr>
      <w:r>
        <w:rPr/>
        <w:t> </w:t>
      </w:r>
    </w:p>
    <w:tbl>
      <w:tblPr>
        <w:tblW w:w="3295" w:type="dxa"/>
        <w:jc w:val="left"/>
        <w:tblInd w:w="0" w:type="dxa"/>
        <w:tblLayout w:type="fixed"/>
        <w:tblCellMar>
          <w:top w:w="0" w:type="dxa"/>
          <w:left w:w="0" w:type="dxa"/>
          <w:bottom w:w="0" w:type="dxa"/>
          <w:right w:w="0" w:type="dxa"/>
        </w:tblCellMar>
      </w:tblPr>
      <w:tblGrid>
        <w:gridCol w:w="665"/>
        <w:gridCol w:w="2630"/>
      </w:tblGrid>
      <w:tr>
        <w:trPr/>
        <w:tc>
          <w:tcPr>
            <w:tcW w:w="6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12</w:t>
            </w:r>
          </w:p>
        </w:tc>
        <w:tc>
          <w:tcPr>
            <w:tcW w:w="263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Goodwill and Intangible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Our reportable segments are Food Service, Retail Supermarkets and Frozen Beverages.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carrying amounts of acquired intangible assets for the Food Service, Retail Supermarkets and Frozen Beverages segments as of June 28, 2025 and September 28, 2024 are as follows:</w:t>
      </w:r>
    </w:p>
    <w:p>
      <w:pPr>
        <w:pStyle w:val="TextBody"/>
        <w:bidi w:val="0"/>
        <w:spacing w:before="0" w:after="0"/>
        <w:ind w:left="0" w:right="0" w:hanging="0"/>
        <w:jc w:val="left"/>
        <w:rPr>
          <w:caps w:val="false"/>
          <w:smallCaps w:val="false"/>
        </w:rPr>
      </w:pPr>
      <w:r>
        <w:rPr>
          <w:caps w:val="false"/>
          <w:smallCaps w:val="false"/>
        </w:rPr>
        <w:t> </w:t>
      </w:r>
    </w:p>
    <w:tbl>
      <w:tblPr>
        <w:tblW w:w="7446" w:type="dxa"/>
        <w:jc w:val="left"/>
        <w:tblInd w:w="0" w:type="dxa"/>
        <w:tblLayout w:type="fixed"/>
        <w:tblCellMar>
          <w:top w:w="0" w:type="dxa"/>
          <w:left w:w="0" w:type="dxa"/>
          <w:bottom w:w="0" w:type="dxa"/>
          <w:right w:w="0" w:type="dxa"/>
        </w:tblCellMar>
      </w:tblPr>
      <w:tblGrid>
        <w:gridCol w:w="2975"/>
        <w:gridCol w:w="60"/>
        <w:gridCol w:w="125"/>
        <w:gridCol w:w="695"/>
        <w:gridCol w:w="60"/>
        <w:gridCol w:w="60"/>
        <w:gridCol w:w="202"/>
        <w:gridCol w:w="958"/>
        <w:gridCol w:w="60"/>
        <w:gridCol w:w="60"/>
        <w:gridCol w:w="127"/>
        <w:gridCol w:w="707"/>
        <w:gridCol w:w="61"/>
        <w:gridCol w:w="61"/>
        <w:gridCol w:w="202"/>
        <w:gridCol w:w="958"/>
        <w:gridCol w:w="75"/>
      </w:tblGrid>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00" w:type="dxa"/>
            <w:gridSpan w:val="6"/>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June 28,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1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28, 2024</w:t>
            </w:r>
          </w:p>
        </w:tc>
        <w:tc>
          <w:tcPr>
            <w:tcW w:w="75"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Carrying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6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Carrying</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ind w:left="0" w:right="0" w:hanging="0"/>
              <w:jc w:val="left"/>
              <w:rPr/>
            </w:pPr>
            <w:r>
              <w:rPr/>
              <w:t> </w:t>
            </w:r>
          </w:p>
        </w:tc>
        <w:tc>
          <w:tcPr>
            <w:tcW w:w="116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p>
        </w:tc>
        <w:tc>
          <w:tcPr>
            <w:tcW w:w="75"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Amortization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ind w:left="0" w:right="0" w:hanging="0"/>
              <w:jc w:val="left"/>
              <w:rPr/>
            </w:pPr>
            <w:r>
              <w:rPr/>
              <w:t> </w:t>
            </w:r>
          </w:p>
        </w:tc>
        <w:tc>
          <w:tcPr>
            <w:tcW w:w="11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Amortization</w:t>
            </w:r>
          </w:p>
        </w:tc>
        <w:tc>
          <w:tcPr>
            <w:tcW w:w="75"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336" w:type="dxa"/>
            <w:gridSpan w:val="14"/>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75" w:type="dxa"/>
            <w:tcBorders/>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FOOD SERVICE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Indefinite lived intangible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names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85,424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85,424</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20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Amortized intangible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names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7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4,024</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1,006</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Franchise agreements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7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8,500</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1,913</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7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23,550</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12,369</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Technology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7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23,110</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5,170</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License and rights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7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1,690</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1,650</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5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0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5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FOOD SERVICE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144,789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146,298</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22,108</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RETAIL SUPERMARKETS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Indefinite lived intangible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names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11,938</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20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0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RETAIL SUPERMARKETS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11,938</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FROZEN BEVERAGES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Indefinite lived intangible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names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9,315</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20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 rights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7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36,100</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Amortized intangible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7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1,439</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844</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Licenses and rights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7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1,400</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1,282</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5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0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5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FROZEN BEVERAGES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48,254</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2,126</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204,981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206,490</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24,234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In connection with our quarterly triggering event analysis, we performed an impairment assessment for our amortizing trade name and determined that the carrying amount of the trade name exceeded its fair value as of June 28, 2025. As a result, the Company recorded an intangible asset impairment charge of $1.5 million in the third quarter of 2025. The intangible asset impairment charge is reflected in Intangible asset impairment charges in the Consolidated Statements of Earnings. The $1.5 million intangible asset impairment charge related to trade names in the Food Service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Amortizing intangible assets are being amortized by the straight-line method over periods ranging from 10 to 20 years and amortization expense is reflected throughout operating expenses. Aggregate amortization expense of intangible assets for the three months ended June 28, 2025 and June 29, 2024 was $1.9 million and $2.0 million, respectively. Aggregate amortization expense of intangible assets for the nine months ended June 28, 2025 and June 29, 2024 was $5.9 million and $5.2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Estimated amortization expense for the next five fiscal years is approximately $1.4 million in 2025 (excluding the nine months ended June 28, 2025), $5.6 million in 2026, $4.7 million in 2027, and $4.3 million in both 2028 and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weighted amortization period of the intangible assets, in total, is 10.0 years. The weighted amortization period by intangible asset class is 10 years for Technology, 10 years for Customer relationships, 20 years for Licenses &amp; rights, and 10 years for Franchise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u w:val="single"/>
        </w:rPr>
        <w:t xml:space="preserve">Goodwill </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carrying amounts of goodwill for the Food Service, Retail Supermarket and Frozen Beverage segments are as follows:</w:t>
      </w:r>
    </w:p>
    <w:p>
      <w:pPr>
        <w:pStyle w:val="TextBody"/>
        <w:bidi w:val="0"/>
        <w:spacing w:before="0" w:after="0"/>
        <w:ind w:left="0" w:right="0" w:hanging="0"/>
        <w:jc w:val="left"/>
        <w:rPr>
          <w:caps w:val="false"/>
          <w:smallCaps w:val="false"/>
        </w:rPr>
      </w:pPr>
      <w:r>
        <w:rPr>
          <w:caps w:val="false"/>
          <w:smallCaps w:val="false"/>
        </w:rPr>
        <w:t> </w:t>
      </w:r>
    </w:p>
    <w:tbl>
      <w:tblPr>
        <w:tblW w:w="3859" w:type="dxa"/>
        <w:jc w:val="left"/>
        <w:tblInd w:w="0" w:type="dxa"/>
        <w:tblLayout w:type="fixed"/>
        <w:tblCellMar>
          <w:top w:w="0" w:type="dxa"/>
          <w:left w:w="0" w:type="dxa"/>
          <w:bottom w:w="0" w:type="dxa"/>
          <w:right w:w="0" w:type="dxa"/>
        </w:tblCellMar>
      </w:tblPr>
      <w:tblGrid>
        <w:gridCol w:w="1580"/>
        <w:gridCol w:w="60"/>
        <w:gridCol w:w="125"/>
        <w:gridCol w:w="695"/>
        <w:gridCol w:w="60"/>
        <w:gridCol w:w="60"/>
        <w:gridCol w:w="185"/>
        <w:gridCol w:w="1034"/>
        <w:gridCol w:w="60"/>
      </w:tblGrid>
      <w:tr>
        <w:trPr/>
        <w:tc>
          <w:tcPr>
            <w:tcW w:w="1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28,</w:t>
            </w:r>
          </w:p>
        </w:tc>
        <w:tc>
          <w:tcPr>
            <w:tcW w:w="60"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59"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Food Service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124,426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124,426</w:t>
            </w:r>
          </w:p>
        </w:tc>
        <w:tc>
          <w:tcPr>
            <w:tcW w:w="60"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Retail Supermarket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4,146</w:t>
            </w:r>
          </w:p>
        </w:tc>
        <w:tc>
          <w:tcPr>
            <w:tcW w:w="60" w:type="dxa"/>
            <w:tcBorders/>
            <w:shd w:fill="FFFFFF" w:val="clear"/>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Frozen Beverages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56,498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56,498</w:t>
            </w:r>
          </w:p>
        </w:tc>
        <w:tc>
          <w:tcPr>
            <w:tcW w:w="60"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goodwill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185,070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185,070</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3460" w:type="dxa"/>
        <w:jc w:val="left"/>
        <w:tblInd w:w="0" w:type="dxa"/>
        <w:tblLayout w:type="fixed"/>
        <w:tblCellMar>
          <w:top w:w="0" w:type="dxa"/>
          <w:left w:w="0" w:type="dxa"/>
          <w:bottom w:w="0" w:type="dxa"/>
          <w:right w:w="0" w:type="dxa"/>
        </w:tblCellMar>
      </w:tblPr>
      <w:tblGrid>
        <w:gridCol w:w="665"/>
        <w:gridCol w:w="2795"/>
      </w:tblGrid>
      <w:tr>
        <w:trPr/>
        <w:tc>
          <w:tcPr>
            <w:tcW w:w="6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13</w:t>
            </w:r>
          </w:p>
        </w:tc>
        <w:tc>
          <w:tcPr>
            <w:tcW w:w="279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Commitments and Contingencies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We are a party to litigation which has arisen in the normal course of business which management currently believes will not have a material adverse effect on our financial condition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We self-insure, up to loss limits, certain insurable risks such as workers’ compensation, automobile, and general liability claims. Accruals for claims under our self-insurance program are recorded on a claims incurred basis. Our total recorded liability for all years’ claims incurred but not yet paid was $16.4 million and $15.3 million at June 28, 2025 and September 28, 2024, respectively. In connection with certain self-insurance agreements, we customarily enter into letters of credit arrangements with our insurers. At both June 28, 2025 and September 28, 2024, we had outstanding letters of credit totaling $12.3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We have a self-insured medical plan which covers approximately 1,800 of our employees. We record a liability for incurred but not yet reported or paid claims based on our historical experience of claim payments and a calculated lag time period. Our recorded liability at June 28, 2025 and September 28, 2024 was $1.7 million and $1.6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On August 19, 2024, we experienced a fire at our Holly Ridge plant in North Carolina. The building was damaged as a result of the fire, and plant operations were interrupted. We maintain property, general liability and business interruption insurance coverage. Based on the provisions of our insurance policies, we record estimated insurance recoveries for fire related costs for which recovery is deemed to be probable.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In the three months ended September 28, 2024, we recorded $6.8 million of fire related costs, for all of which recovery was deemed to be probable, and we received $5.0 million of insurance proceeds for inventory, fixed asset losses, and other fire related costs. Additionally, we recorded an insurance receivable, net of advance proceeds received, for other fire related costs for which recovery was deemed probable of $1.8 million, which was recorded in prepaid expenses and other, in the Consolidated Balance Sheet as of September 28,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In the three and nine months ended June 28, 2025, we recorded an additional $0.3 million and $10.4 million of fire related costs, respectively, for all of which recovery was deemed to be probable. In the three and nine months ended June 28, 2025, we received $21.1 million and $23.6 million of insurance proceeds, respectively, for inventory, fixed asset replacement costs, and business interruption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Cumulative fire related costs through June 28, 2025 were $17.2 million, for all of which insurance proceeds have been received. Cumulative Insurance proceeds as of June 28, 2025 were $28.6 million for inventory, fixed asset replacement costs, and business interruption losses. Of the $28.6 million insurance proceeds received through June 28, 2025, $10.6 million was recognized in the three- and nine-month periods ended June 28, 2025, representing gains on insurance proceeds received for damage to property, plant, and equipment. Additionally, for the nine-month period ended June 28, 2025, we recorded a gain of $0.8 million in cost of goods sold in the Consolidated Statement of Earnings representing the proceeds received in excess of operating losses recognized. No such gain was recognized in the three-month period ended June 28, 2025. There was no insurance receivable, net of advance proceeds received, for other fire related costs for which recovery was deemed probable in the Consolidated Balance Sheet as of June 28,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jc w:val="left"/>
        <w:rPr/>
      </w:pPr>
      <w:r>
        <w:rPr/>
        <w:t> </w:t>
      </w:r>
    </w:p>
    <w:tbl>
      <w:tblPr>
        <w:tblW w:w="4930" w:type="dxa"/>
        <w:jc w:val="left"/>
        <w:tblInd w:w="0" w:type="dxa"/>
        <w:tblLayout w:type="fixed"/>
        <w:tblCellMar>
          <w:top w:w="0" w:type="dxa"/>
          <w:left w:w="0" w:type="dxa"/>
          <w:bottom w:w="0" w:type="dxa"/>
          <w:right w:w="0" w:type="dxa"/>
        </w:tblCellMar>
      </w:tblPr>
      <w:tblGrid>
        <w:gridCol w:w="665"/>
        <w:gridCol w:w="4265"/>
      </w:tblGrid>
      <w:tr>
        <w:trPr/>
        <w:tc>
          <w:tcPr>
            <w:tcW w:w="6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14</w:t>
            </w:r>
          </w:p>
        </w:tc>
        <w:tc>
          <w:tcPr>
            <w:tcW w:w="42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Accumulated Other Comprehensive Income (Loss)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Changes to the components of accumulated other comprehensive loss are as follows:</w:t>
      </w:r>
    </w:p>
    <w:p>
      <w:pPr>
        <w:pStyle w:val="TextBody"/>
        <w:bidi w:val="0"/>
        <w:spacing w:before="0" w:after="0"/>
        <w:ind w:left="0" w:right="0" w:hanging="0"/>
        <w:jc w:val="left"/>
        <w:rPr>
          <w:caps w:val="false"/>
          <w:smallCaps w:val="false"/>
        </w:rPr>
      </w:pPr>
      <w:r>
        <w:rPr>
          <w:caps w:val="false"/>
          <w:smallCaps w:val="false"/>
        </w:rPr>
        <w:t> </w:t>
      </w:r>
    </w:p>
    <w:tbl>
      <w:tblPr>
        <w:tblW w:w="9493" w:type="dxa"/>
        <w:jc w:val="left"/>
        <w:tblInd w:w="0" w:type="dxa"/>
        <w:tblLayout w:type="fixed"/>
        <w:tblCellMar>
          <w:top w:w="0" w:type="dxa"/>
          <w:left w:w="0" w:type="dxa"/>
          <w:bottom w:w="0" w:type="dxa"/>
          <w:right w:w="0" w:type="dxa"/>
        </w:tblCellMar>
      </w:tblPr>
      <w:tblGrid>
        <w:gridCol w:w="4160"/>
        <w:gridCol w:w="60"/>
        <w:gridCol w:w="190"/>
        <w:gridCol w:w="999"/>
        <w:gridCol w:w="81"/>
        <w:gridCol w:w="61"/>
        <w:gridCol w:w="190"/>
        <w:gridCol w:w="999"/>
        <w:gridCol w:w="80"/>
        <w:gridCol w:w="60"/>
        <w:gridCol w:w="191"/>
        <w:gridCol w:w="998"/>
        <w:gridCol w:w="80"/>
        <w:gridCol w:w="60"/>
        <w:gridCol w:w="191"/>
        <w:gridCol w:w="998"/>
        <w:gridCol w:w="95"/>
      </w:tblGrid>
      <w:tr>
        <w:trPr/>
        <w:tc>
          <w:tcPr>
            <w:tcW w:w="4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2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1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tc>
        <w:tc>
          <w:tcPr>
            <w:tcW w:w="95" w:type="dxa"/>
            <w:tcBorders/>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 2025</w:t>
            </w:r>
          </w:p>
        </w:tc>
        <w:tc>
          <w:tcPr>
            <w:tcW w:w="8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29, 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 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29, 2024</w:t>
            </w:r>
          </w:p>
        </w:tc>
        <w:tc>
          <w:tcPr>
            <w:tcW w:w="95" w:type="dxa"/>
            <w:tcBorders/>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20"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18"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95" w:type="dxa"/>
            <w:tcBorders/>
            <w:vAlign w:val="center"/>
          </w:tcPr>
          <w:p>
            <w:pPr>
              <w:pStyle w:val="TableContents"/>
              <w:bidi w:val="0"/>
              <w:spacing w:before="0" w:after="283"/>
              <w:jc w:val="left"/>
              <w:rPr/>
            </w:pPr>
            <w:r>
              <w:rPr/>
              <w:t> </w:t>
            </w:r>
          </w:p>
        </w:tc>
      </w:tr>
      <w:tr>
        <w:trPr/>
        <w:tc>
          <w:tcPr>
            <w:tcW w:w="416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Foreign currency translation adjustments</w:t>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99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999"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19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(17,444</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ind w:left="0" w:right="0" w:hanging="0"/>
              <w:jc w:val="left"/>
              <w:rPr/>
            </w:pPr>
            <w:r>
              <w:rPr/>
              <w:t> </w:t>
            </w:r>
          </w:p>
        </w:tc>
        <w:tc>
          <w:tcPr>
            <w:tcW w:w="19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(7,883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(15,299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(10,166</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 gain (loss)</w:t>
            </w:r>
          </w:p>
        </w:tc>
        <w:tc>
          <w:tcPr>
            <w:tcW w:w="60" w:type="dxa"/>
            <w:tcBorders/>
            <w:shd w:fill="FFFFFF" w:val="clear"/>
            <w:vAlign w:val="center"/>
          </w:tcPr>
          <w:p>
            <w:pPr>
              <w:pStyle w:val="TableContents"/>
              <w:bidi w:val="0"/>
              <w:spacing w:before="0" w:after="283"/>
              <w:ind w:left="0" w:right="0" w:hanging="0"/>
              <w:jc w:val="left"/>
              <w:rPr/>
            </w:pPr>
            <w:r>
              <w:rPr/>
              <w:t> </w:t>
            </w:r>
          </w:p>
        </w:tc>
        <w:tc>
          <w:tcPr>
            <w:tcW w:w="19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3,774</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9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(4,546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(2,263</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Ending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19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(13,670</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ind w:left="0" w:right="0" w:hanging="0"/>
              <w:jc w:val="left"/>
              <w:rPr/>
            </w:pPr>
            <w:r>
              <w:rPr/>
              <w:t> </w:t>
            </w:r>
          </w:p>
        </w:tc>
        <w:tc>
          <w:tcPr>
            <w:tcW w:w="19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(12,429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(12,429</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9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9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9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9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9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loss</w:t>
            </w:r>
          </w:p>
        </w:tc>
        <w:tc>
          <w:tcPr>
            <w:tcW w:w="60" w:type="dxa"/>
            <w:tcBorders/>
            <w:shd w:fill="CCEEFF" w:val="clear"/>
            <w:vAlign w:val="center"/>
          </w:tcPr>
          <w:p>
            <w:pPr>
              <w:pStyle w:val="TableContents"/>
              <w:bidi w:val="0"/>
              <w:spacing w:before="0" w:after="283"/>
              <w:ind w:left="0" w:right="0" w:hanging="0"/>
              <w:jc w:val="left"/>
              <w:rPr/>
            </w:pPr>
            <w:r>
              <w:rPr/>
              <w:t> </w:t>
            </w:r>
          </w:p>
        </w:tc>
        <w:tc>
          <w:tcPr>
            <w:tcW w:w="19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(13,670</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ind w:left="0" w:right="0" w:hanging="0"/>
              <w:jc w:val="left"/>
              <w:rPr/>
            </w:pPr>
            <w:r>
              <w:rPr/>
              <w:t> </w:t>
            </w:r>
          </w:p>
        </w:tc>
        <w:tc>
          <w:tcPr>
            <w:tcW w:w="19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(12,429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(12,429</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255" w:type="dxa"/>
        <w:jc w:val="left"/>
        <w:tblInd w:w="0" w:type="dxa"/>
        <w:tblLayout w:type="fixed"/>
        <w:tblCellMar>
          <w:top w:w="0" w:type="dxa"/>
          <w:left w:w="0" w:type="dxa"/>
          <w:bottom w:w="0" w:type="dxa"/>
          <w:right w:w="0" w:type="dxa"/>
        </w:tblCellMar>
      </w:tblPr>
      <w:tblGrid>
        <w:gridCol w:w="665"/>
        <w:gridCol w:w="590"/>
      </w:tblGrid>
      <w:tr>
        <w:trPr/>
        <w:tc>
          <w:tcPr>
            <w:tcW w:w="6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15</w:t>
            </w:r>
          </w:p>
        </w:tc>
        <w:tc>
          <w:tcPr>
            <w:tcW w:w="59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Leases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General Lease Description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We have operating leases with initial noncancelable lease terms in excess of one year covering the rental of various facilities and equipment. Certain of these leases contain renewal options and some provide options to purchase during the lease term. Our operating leases include leases for real estate for some of our office and manufacturing facilities as well as manufacturing and non-manufacturing equipment used in our business. The remaining lease terms for these operating leases range from 1 month to 19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We have finance leases with initial noncancelable lease terms in excess of one year covering the rental of various equipment. These leases are generally for manufacturing and non-manufacturing equipment used in our business. The remaining lease terms for these finance leases range from 1 year to 6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u w:val="single"/>
        </w:rPr>
        <w:t>Significant Assumptions and Judgments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i/>
          <w:caps w:val="false"/>
          <w:smallCaps w:val="false"/>
          <w:sz w:val="20"/>
        </w:rPr>
      </w:pPr>
      <w:r>
        <w:rPr>
          <w:rFonts w:ascii="Times New Roman" w:hAnsi="Times New Roman"/>
          <w:i/>
          <w:caps w:val="false"/>
          <w:smallCaps w:val="false"/>
          <w:sz w:val="20"/>
        </w:rPr>
        <w:t>Contract Contains a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In evaluating our contracts to determine whether a contract is or contains a lease, we considered the following:</w:t>
      </w:r>
    </w:p>
    <w:p>
      <w:pPr>
        <w:pStyle w:val="TextBody"/>
        <w:bidi w:val="0"/>
        <w:spacing w:before="0" w:after="0"/>
        <w:ind w:left="0" w:right="0" w:hanging="0"/>
        <w:jc w:val="left"/>
        <w:rPr>
          <w:caps w:val="false"/>
          <w:smallCaps w:val="false"/>
        </w:rPr>
      </w:pPr>
      <w:r>
        <w:rPr>
          <w:caps w:val="false"/>
          <w:smallCaps w:val="false"/>
        </w:rPr>
        <w:t> </w:t>
      </w:r>
    </w:p>
    <w:tbl>
      <w:tblPr>
        <w:tblW w:w="7435" w:type="dxa"/>
        <w:jc w:val="left"/>
        <w:tblInd w:w="0" w:type="dxa"/>
        <w:tblLayout w:type="fixed"/>
        <w:tblCellMar>
          <w:top w:w="0" w:type="dxa"/>
          <w:left w:w="0" w:type="dxa"/>
          <w:bottom w:w="0" w:type="dxa"/>
          <w:right w:w="0" w:type="dxa"/>
        </w:tblCellMar>
      </w:tblPr>
      <w:tblGrid>
        <w:gridCol w:w="60"/>
        <w:gridCol w:w="110"/>
        <w:gridCol w:w="72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72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Whether explicitly or implicitly identified assets have been deployed in the contract;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Whether we obtain substantially all of the economic benefits from the use of that underlying asset, and we can direct how and for what purpose the asset is used during the term of the contract.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i/>
          <w:caps w:val="false"/>
          <w:smallCaps w:val="false"/>
          <w:sz w:val="20"/>
        </w:rPr>
      </w:pPr>
      <w:r>
        <w:rPr>
          <w:rFonts w:ascii="Times New Roman" w:hAnsi="Times New Roman"/>
          <w:i/>
          <w:caps w:val="false"/>
          <w:smallCaps w:val="false"/>
          <w:sz w:val="20"/>
        </w:rPr>
        <w:t>Allocation of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In determining how to allocate consideration between lease and non-lease components in a contract that was deemed to contain a lease, we used judgment and consistent application of assumptions to reasonably allocate the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i/>
          <w:caps w:val="false"/>
          <w:smallCaps w:val="false"/>
          <w:sz w:val="20"/>
        </w:rPr>
      </w:pPr>
      <w:r>
        <w:rPr>
          <w:rFonts w:ascii="Times New Roman" w:hAnsi="Times New Roman"/>
          <w:i/>
          <w:caps w:val="false"/>
          <w:smallCaps w:val="false"/>
          <w:sz w:val="20"/>
        </w:rPr>
        <w:t>Options to Extend or Terminate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We have leases which contain options to extend or terminate the leases. On a lease-by-lease basis, we have determined if the extension should be considered reasonably certain to be exercised and thus a right-of-use asset and a lease liability should be recorded.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i/>
          <w:caps w:val="false"/>
          <w:smallCaps w:val="false"/>
          <w:sz w:val="20"/>
        </w:rPr>
      </w:pPr>
      <w:r>
        <w:rPr>
          <w:rFonts w:ascii="Times New Roman" w:hAnsi="Times New Roman"/>
          <w:i/>
          <w:caps w:val="false"/>
          <w:smallCaps w:val="false"/>
          <w:sz w:val="20"/>
        </w:rPr>
        <w:t>Discount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discount rate for leases, if not explicitly stated in the lease, is the incremental borrowing rate, which is the rate of interest that we would have to pay to borrow on a collateralized basis over a similar term an amount equal to the lease payments in a similar economic environment.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We used the discount rate to calculate the present value of the lease liability at the date of adoption. In the development of the discount rate, we considered our incremental borrowing rate as provided by our lender which was based on cash collateral and credit risk specific to us, and our lease portfolio characteristics.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As of June 28, 2025, the weighted-average discount rate of our operating and finance leases was 5.4% and 4.1%, respectively. As of September 28, 2024, the weighted-average discount rate of our operating and finance leases was 5.2% and 4.0%,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Practical Expedients and Accounting Policy Elections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We elected the package of practical expedients that permits us not to reassess our prior conclusions about lease identification, lease classification and initial direct costs and made an accounting policy election to exclude short-term leases with an initial term of 12 months or less from our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08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Amounts Recognized in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components of lease expense were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45"/>
        <w:gridCol w:w="60"/>
        <w:gridCol w:w="286"/>
        <w:gridCol w:w="1113"/>
        <w:gridCol w:w="60"/>
        <w:gridCol w:w="60"/>
        <w:gridCol w:w="286"/>
        <w:gridCol w:w="1113"/>
        <w:gridCol w:w="60"/>
        <w:gridCol w:w="60"/>
        <w:gridCol w:w="234"/>
        <w:gridCol w:w="1105"/>
        <w:gridCol w:w="60"/>
        <w:gridCol w:w="60"/>
        <w:gridCol w:w="234"/>
        <w:gridCol w:w="1105"/>
        <w:gridCol w:w="64"/>
      </w:tblGrid>
      <w:tr>
        <w:trPr/>
        <w:tc>
          <w:tcPr>
            <w:tcW w:w="4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9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9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3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3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tc>
        <w:tc>
          <w:tcPr>
            <w:tcW w:w="64" w:type="dxa"/>
            <w:tcBorders/>
            <w:vAlign w:val="center"/>
          </w:tcPr>
          <w:p>
            <w:pPr>
              <w:pStyle w:val="TableContents"/>
              <w:bidi w:val="0"/>
              <w:spacing w:before="0" w:after="283"/>
              <w:jc w:val="left"/>
              <w:rPr/>
            </w:pPr>
            <w:r>
              <w:rPr/>
              <w:t> </w:t>
            </w:r>
          </w:p>
        </w:tc>
      </w:tr>
      <w:tr>
        <w:trPr/>
        <w:tc>
          <w:tcPr>
            <w:tcW w:w="4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29, 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29, 2024</w:t>
            </w:r>
          </w:p>
        </w:tc>
        <w:tc>
          <w:tcPr>
            <w:tcW w:w="64" w:type="dxa"/>
            <w:tcBorders/>
            <w:vAlign w:val="center"/>
          </w:tcPr>
          <w:p>
            <w:pPr>
              <w:pStyle w:val="TableContents"/>
              <w:bidi w:val="0"/>
              <w:spacing w:before="0" w:after="283"/>
              <w:ind w:left="0" w:right="0" w:hanging="0"/>
              <w:jc w:val="left"/>
              <w:rPr/>
            </w:pPr>
            <w:r>
              <w:rPr/>
              <w:t> </w:t>
            </w:r>
          </w:p>
        </w:tc>
      </w:tr>
      <w:tr>
        <w:trPr/>
        <w:tc>
          <w:tcPr>
            <w:tcW w:w="42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cost in Cost of goods sold and Operating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28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20,230</w:t>
            </w:r>
          </w:p>
        </w:tc>
        <w:tc>
          <w:tcPr>
            <w:tcW w:w="64" w:type="dxa"/>
            <w:tcBorders/>
            <w:shd w:fill="CCEEFF" w:val="clear"/>
            <w:vAlign w:val="center"/>
          </w:tcPr>
          <w:p>
            <w:pPr>
              <w:pStyle w:val="TableContents"/>
              <w:bidi w:val="0"/>
              <w:spacing w:before="0" w:after="283"/>
              <w:ind w:left="0" w:right="0" w:hanging="0"/>
              <w:jc w:val="left"/>
              <w:rPr/>
            </w:pPr>
            <w:r>
              <w:rPr/>
              <w:t> </w:t>
            </w:r>
          </w:p>
        </w:tc>
      </w:tr>
      <w:tr>
        <w:trPr/>
        <w:tc>
          <w:tcPr>
            <w:tcW w:w="42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 cost:</w:t>
            </w:r>
          </w:p>
        </w:tc>
        <w:tc>
          <w:tcPr>
            <w:tcW w:w="60"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r>
      <w:tr>
        <w:trPr/>
        <w:tc>
          <w:tcPr>
            <w:tcW w:w="42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assets in Cost of goods sold and Operating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28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w:t>
            </w:r>
          </w:p>
        </w:tc>
        <w:tc>
          <w:tcPr>
            <w:tcW w:w="64" w:type="dxa"/>
            <w:tcBorders/>
            <w:shd w:fill="CCEEFF" w:val="clear"/>
            <w:vAlign w:val="center"/>
          </w:tcPr>
          <w:p>
            <w:pPr>
              <w:pStyle w:val="TableContents"/>
              <w:bidi w:val="0"/>
              <w:spacing w:before="0" w:after="283"/>
              <w:ind w:left="0" w:right="0" w:hanging="0"/>
              <w:jc w:val="left"/>
              <w:rPr/>
            </w:pPr>
            <w:r>
              <w:rPr/>
              <w:t> </w:t>
            </w:r>
          </w:p>
        </w:tc>
      </w:tr>
      <w:tr>
        <w:trPr/>
        <w:tc>
          <w:tcPr>
            <w:tcW w:w="424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on lease liabilities in Interest expense &amp; other</w:t>
            </w:r>
          </w:p>
        </w:tc>
        <w:tc>
          <w:tcPr>
            <w:tcW w:w="60" w:type="dxa"/>
            <w:tcBorders/>
            <w:shd w:fill="FFFFFF" w:val="clear"/>
            <w:vAlign w:val="center"/>
          </w:tcPr>
          <w:p>
            <w:pPr>
              <w:pStyle w:val="TableContents"/>
              <w:bidi w:val="0"/>
              <w:spacing w:before="0" w:after="283"/>
              <w:jc w:val="left"/>
              <w:rPr/>
            </w:pPr>
            <w:r>
              <w:rPr/>
              <w:t> </w:t>
            </w:r>
          </w:p>
        </w:tc>
        <w:tc>
          <w:tcPr>
            <w:tcW w:w="2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64" w:type="dxa"/>
            <w:tcBorders/>
            <w:shd w:fill="FFFFFF" w:val="clear"/>
            <w:vAlign w:val="center"/>
          </w:tcPr>
          <w:p>
            <w:pPr>
              <w:pStyle w:val="TableContents"/>
              <w:bidi w:val="0"/>
              <w:spacing w:before="0" w:after="283"/>
              <w:ind w:left="0" w:right="0" w:hanging="0"/>
              <w:jc w:val="left"/>
              <w:rPr/>
            </w:pPr>
            <w:r>
              <w:rPr/>
              <w:t> </w:t>
            </w:r>
          </w:p>
        </w:tc>
      </w:tr>
      <w:tr>
        <w:trPr/>
        <w:tc>
          <w:tcPr>
            <w:tcW w:w="424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finance lease cost</w:t>
            </w:r>
          </w:p>
        </w:tc>
        <w:tc>
          <w:tcPr>
            <w:tcW w:w="60" w:type="dxa"/>
            <w:tcBorders/>
            <w:shd w:fill="CCEEFF" w:val="clear"/>
            <w:vAlign w:val="center"/>
          </w:tcPr>
          <w:p>
            <w:pPr>
              <w:pStyle w:val="TableContents"/>
              <w:bidi w:val="0"/>
              <w:spacing w:before="0" w:after="283"/>
              <w:ind w:left="0" w:right="0" w:hanging="0"/>
              <w:jc w:val="left"/>
              <w:rPr/>
            </w:pPr>
            <w:r>
              <w:rPr/>
              <w:t> </w:t>
            </w:r>
          </w:p>
        </w:tc>
        <w:tc>
          <w:tcPr>
            <w:tcW w:w="28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w:t>
            </w:r>
          </w:p>
        </w:tc>
        <w:tc>
          <w:tcPr>
            <w:tcW w:w="64" w:type="dxa"/>
            <w:tcBorders/>
            <w:shd w:fill="CCEEFF" w:val="clear"/>
            <w:vAlign w:val="center"/>
          </w:tcPr>
          <w:p>
            <w:pPr>
              <w:pStyle w:val="TableContents"/>
              <w:bidi w:val="0"/>
              <w:spacing w:before="0" w:after="283"/>
              <w:ind w:left="0" w:right="0" w:hanging="0"/>
              <w:jc w:val="left"/>
              <w:rPr/>
            </w:pPr>
            <w:r>
              <w:rPr/>
              <w:t> </w:t>
            </w:r>
          </w:p>
        </w:tc>
      </w:tr>
      <w:tr>
        <w:trPr/>
        <w:tc>
          <w:tcPr>
            <w:tcW w:w="42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lease cost in Cost of goods sold and Operating Expenses</w:t>
            </w:r>
          </w:p>
        </w:tc>
        <w:tc>
          <w:tcPr>
            <w:tcW w:w="60" w:type="dxa"/>
            <w:tcBorders/>
            <w:shd w:fill="FFFFFF" w:val="clear"/>
            <w:vAlign w:val="center"/>
          </w:tcPr>
          <w:p>
            <w:pPr>
              <w:pStyle w:val="TableContents"/>
              <w:bidi w:val="0"/>
              <w:spacing w:before="0" w:after="283"/>
              <w:jc w:val="left"/>
              <w:rPr/>
            </w:pPr>
            <w:r>
              <w:rPr/>
              <w:t> </w:t>
            </w:r>
          </w:p>
        </w:tc>
        <w:tc>
          <w:tcPr>
            <w:tcW w:w="2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4" w:type="dxa"/>
            <w:tcBorders/>
            <w:shd w:fill="FFFFFF" w:val="clear"/>
            <w:vAlign w:val="center"/>
          </w:tcPr>
          <w:p>
            <w:pPr>
              <w:pStyle w:val="TableContents"/>
              <w:bidi w:val="0"/>
              <w:spacing w:before="0" w:after="283"/>
              <w:jc w:val="left"/>
              <w:rPr/>
            </w:pPr>
            <w:r>
              <w:rPr/>
              <w:t> </w:t>
            </w:r>
          </w:p>
        </w:tc>
      </w:tr>
      <w:tr>
        <w:trPr/>
        <w:tc>
          <w:tcPr>
            <w:tcW w:w="424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lease cost</w:t>
            </w:r>
          </w:p>
        </w:tc>
        <w:tc>
          <w:tcPr>
            <w:tcW w:w="60" w:type="dxa"/>
            <w:tcBorders/>
            <w:shd w:fill="CCEEFF" w:val="clear"/>
            <w:vAlign w:val="center"/>
          </w:tcPr>
          <w:p>
            <w:pPr>
              <w:pStyle w:val="TableContents"/>
              <w:bidi w:val="0"/>
              <w:spacing w:before="0" w:after="283"/>
              <w:ind w:left="0" w:right="0" w:hanging="0"/>
              <w:jc w:val="left"/>
              <w:rPr/>
            </w:pPr>
            <w:r>
              <w:rPr/>
              <w:t> </w:t>
            </w:r>
          </w:p>
        </w:tc>
        <w:tc>
          <w:tcPr>
            <w:tcW w:w="28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20,408</w:t>
            </w:r>
          </w:p>
        </w:tc>
        <w:tc>
          <w:tcPr>
            <w:tcW w:w="6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Supplemental balance sheet information related to leases is as follows:</w:t>
      </w:r>
    </w:p>
    <w:p>
      <w:pPr>
        <w:pStyle w:val="TextBody"/>
        <w:bidi w:val="0"/>
        <w:spacing w:before="0" w:after="0"/>
        <w:ind w:left="0" w:right="0" w:hanging="0"/>
        <w:jc w:val="left"/>
        <w:rPr/>
      </w:pPr>
      <w:r>
        <w:rPr/>
        <w:t> </w:t>
      </w:r>
    </w:p>
    <w:tbl>
      <w:tblPr>
        <w:tblW w:w="8788" w:type="dxa"/>
        <w:jc w:val="left"/>
        <w:tblInd w:w="0" w:type="dxa"/>
        <w:tblLayout w:type="fixed"/>
        <w:tblCellMar>
          <w:top w:w="0" w:type="dxa"/>
          <w:left w:w="0" w:type="dxa"/>
          <w:bottom w:w="0" w:type="dxa"/>
          <w:right w:w="0" w:type="dxa"/>
        </w:tblCellMar>
      </w:tblPr>
      <w:tblGrid>
        <w:gridCol w:w="5675"/>
        <w:gridCol w:w="60"/>
        <w:gridCol w:w="181"/>
        <w:gridCol w:w="1008"/>
        <w:gridCol w:w="60"/>
        <w:gridCol w:w="60"/>
        <w:gridCol w:w="256"/>
        <w:gridCol w:w="1428"/>
        <w:gridCol w:w="60"/>
      </w:tblGrid>
      <w:tr>
        <w:trPr/>
        <w:tc>
          <w:tcPr>
            <w:tcW w:w="56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28, 2024</w:t>
            </w:r>
          </w:p>
        </w:tc>
        <w:tc>
          <w:tcPr>
            <w:tcW w:w="60" w:type="dxa"/>
            <w:tcBorders/>
            <w:vAlign w:val="center"/>
          </w:tcPr>
          <w:p>
            <w:pPr>
              <w:pStyle w:val="TableContents"/>
              <w:bidi w:val="0"/>
              <w:spacing w:before="0" w:after="283"/>
              <w:jc w:val="left"/>
              <w:rPr/>
            </w:pPr>
            <w:r>
              <w:rPr/>
              <w:t> </w:t>
            </w:r>
          </w:p>
        </w:tc>
      </w:tr>
      <w:tr>
        <w:trPr/>
        <w:tc>
          <w:tcPr>
            <w:tcW w:w="56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Leases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42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6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156,763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2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152,383</w:t>
            </w:r>
          </w:p>
        </w:tc>
        <w:tc>
          <w:tcPr>
            <w:tcW w:w="60" w:type="dxa"/>
            <w:tcBorders/>
            <w:shd w:fill="FFFFFF" w:val="clear"/>
            <w:vAlign w:val="center"/>
          </w:tcPr>
          <w:p>
            <w:pPr>
              <w:pStyle w:val="TableContents"/>
              <w:bidi w:val="0"/>
              <w:spacing w:before="0" w:after="283"/>
              <w:jc w:val="left"/>
              <w:rPr/>
            </w:pPr>
            <w:r>
              <w:rPr/>
              <w:t> </w:t>
            </w:r>
          </w:p>
        </w:tc>
      </w:tr>
      <w:tr>
        <w:trPr/>
        <w:tc>
          <w:tcPr>
            <w:tcW w:w="56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42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6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operating lease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8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19,063</w:t>
            </w:r>
          </w:p>
        </w:tc>
        <w:tc>
          <w:tcPr>
            <w:tcW w:w="60" w:type="dxa"/>
            <w:tcBorders/>
            <w:shd w:fill="FFFFFF" w:val="clear"/>
            <w:vAlign w:val="center"/>
          </w:tcPr>
          <w:p>
            <w:pPr>
              <w:pStyle w:val="TableContents"/>
              <w:bidi w:val="0"/>
              <w:spacing w:before="0" w:after="283"/>
              <w:jc w:val="left"/>
              <w:rPr/>
            </w:pPr>
            <w:r>
              <w:rPr/>
              <w:t> </w:t>
            </w:r>
          </w:p>
        </w:tc>
      </w:tr>
      <w:tr>
        <w:trPr/>
        <w:tc>
          <w:tcPr>
            <w:tcW w:w="56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operating lease liabilities</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143,975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140,751</w:t>
            </w:r>
          </w:p>
        </w:tc>
        <w:tc>
          <w:tcPr>
            <w:tcW w:w="60" w:type="dxa"/>
            <w:tcBorders/>
            <w:shd w:fill="CCEEFF" w:val="clear"/>
            <w:vAlign w:val="center"/>
          </w:tcPr>
          <w:p>
            <w:pPr>
              <w:pStyle w:val="TableContents"/>
              <w:bidi w:val="0"/>
              <w:spacing w:before="0" w:after="283"/>
              <w:jc w:val="left"/>
              <w:rPr/>
            </w:pPr>
            <w:r>
              <w:rPr/>
              <w:t> </w:t>
            </w:r>
          </w:p>
        </w:tc>
      </w:tr>
      <w:tr>
        <w:trPr/>
        <w:tc>
          <w:tcPr>
            <w:tcW w:w="567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lease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165,104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2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159,814</w:t>
            </w:r>
          </w:p>
        </w:tc>
        <w:tc>
          <w:tcPr>
            <w:tcW w:w="60" w:type="dxa"/>
            <w:tcBorders/>
            <w:shd w:fill="FFFFFF" w:val="clear"/>
            <w:vAlign w:val="center"/>
          </w:tcPr>
          <w:p>
            <w:pPr>
              <w:pStyle w:val="TableContents"/>
              <w:bidi w:val="0"/>
              <w:spacing w:before="0" w:after="283"/>
              <w:jc w:val="left"/>
              <w:rPr/>
            </w:pPr>
            <w:r>
              <w:rPr/>
              <w:t> </w:t>
            </w:r>
          </w:p>
        </w:tc>
      </w:tr>
      <w:tr>
        <w:trPr/>
        <w:tc>
          <w:tcPr>
            <w:tcW w:w="56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42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67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Finance Leases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4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56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 right-of-use assets in Property, plant and equipment, net</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601</w:t>
            </w:r>
          </w:p>
        </w:tc>
        <w:tc>
          <w:tcPr>
            <w:tcW w:w="60" w:type="dxa"/>
            <w:tcBorders/>
            <w:shd w:fill="CCEEFF" w:val="clear"/>
            <w:vAlign w:val="center"/>
          </w:tcPr>
          <w:p>
            <w:pPr>
              <w:pStyle w:val="TableContents"/>
              <w:bidi w:val="0"/>
              <w:spacing w:before="0" w:after="283"/>
              <w:jc w:val="left"/>
              <w:rPr/>
            </w:pPr>
            <w:r>
              <w:rPr/>
              <w:t> </w:t>
            </w:r>
          </w:p>
        </w:tc>
      </w:tr>
      <w:tr>
        <w:trPr/>
        <w:tc>
          <w:tcPr>
            <w:tcW w:w="56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4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56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finance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w:t>
            </w:r>
          </w:p>
        </w:tc>
        <w:tc>
          <w:tcPr>
            <w:tcW w:w="60" w:type="dxa"/>
            <w:tcBorders/>
            <w:shd w:fill="CCEEFF" w:val="clear"/>
            <w:vAlign w:val="center"/>
          </w:tcPr>
          <w:p>
            <w:pPr>
              <w:pStyle w:val="TableContents"/>
              <w:bidi w:val="0"/>
              <w:spacing w:before="0" w:after="283"/>
              <w:jc w:val="left"/>
              <w:rPr/>
            </w:pPr>
            <w:r>
              <w:rPr/>
              <w:t> </w:t>
            </w:r>
          </w:p>
        </w:tc>
      </w:tr>
      <w:tr>
        <w:trPr/>
        <w:tc>
          <w:tcPr>
            <w:tcW w:w="56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finance lease liabilities</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w:t>
            </w:r>
          </w:p>
        </w:tc>
        <w:tc>
          <w:tcPr>
            <w:tcW w:w="60" w:type="dxa"/>
            <w:tcBorders/>
            <w:shd w:fill="FFFFFF" w:val="clear"/>
            <w:vAlign w:val="center"/>
          </w:tcPr>
          <w:p>
            <w:pPr>
              <w:pStyle w:val="TableContents"/>
              <w:bidi w:val="0"/>
              <w:spacing w:before="0" w:after="283"/>
              <w:jc w:val="left"/>
              <w:rPr/>
            </w:pPr>
            <w:r>
              <w:rPr/>
              <w:t> </w:t>
            </w:r>
          </w:p>
        </w:tc>
      </w:tr>
      <w:tr>
        <w:trPr/>
        <w:tc>
          <w:tcPr>
            <w:tcW w:w="567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finance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Supplemental cash flow information related to leases is as follows: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4817"/>
        <w:gridCol w:w="60"/>
        <w:gridCol w:w="254"/>
        <w:gridCol w:w="988"/>
        <w:gridCol w:w="60"/>
        <w:gridCol w:w="60"/>
        <w:gridCol w:w="254"/>
        <w:gridCol w:w="988"/>
        <w:gridCol w:w="60"/>
        <w:gridCol w:w="60"/>
        <w:gridCol w:w="211"/>
        <w:gridCol w:w="999"/>
        <w:gridCol w:w="60"/>
        <w:gridCol w:w="60"/>
        <w:gridCol w:w="211"/>
        <w:gridCol w:w="999"/>
        <w:gridCol w:w="64"/>
      </w:tblGrid>
      <w:tr>
        <w:trPr/>
        <w:tc>
          <w:tcPr>
            <w:tcW w:w="48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42"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42"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tc>
        <w:tc>
          <w:tcPr>
            <w:tcW w:w="64" w:type="dxa"/>
            <w:tcBorders/>
            <w:vAlign w:val="center"/>
          </w:tcPr>
          <w:p>
            <w:pPr>
              <w:pStyle w:val="TableContents"/>
              <w:bidi w:val="0"/>
              <w:spacing w:before="0" w:after="283"/>
              <w:jc w:val="left"/>
              <w:rPr/>
            </w:pPr>
            <w:r>
              <w:rPr/>
              <w:t> </w:t>
            </w:r>
          </w:p>
        </w:tc>
      </w:tr>
      <w:tr>
        <w:trPr/>
        <w:tc>
          <w:tcPr>
            <w:tcW w:w="48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29, 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29, 2024</w:t>
            </w:r>
          </w:p>
        </w:tc>
        <w:tc>
          <w:tcPr>
            <w:tcW w:w="64" w:type="dxa"/>
            <w:tcBorders/>
            <w:vAlign w:val="center"/>
          </w:tcPr>
          <w:p>
            <w:pPr>
              <w:pStyle w:val="TableContents"/>
              <w:bidi w:val="0"/>
              <w:spacing w:before="0" w:after="283"/>
              <w:ind w:left="0" w:right="0" w:hanging="0"/>
              <w:jc w:val="left"/>
              <w:rPr/>
            </w:pPr>
            <w:r>
              <w:rPr/>
              <w:t> </w:t>
            </w:r>
          </w:p>
        </w:tc>
      </w:tr>
      <w:tr>
        <w:trPr/>
        <w:tc>
          <w:tcPr>
            <w:tcW w:w="481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amounts included in the measurement of lease liabilities:</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r>
      <w:tr>
        <w:trPr/>
        <w:tc>
          <w:tcPr>
            <w:tcW w:w="4817"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cash flows from operating leases</w:t>
            </w:r>
          </w:p>
        </w:tc>
        <w:tc>
          <w:tcPr>
            <w:tcW w:w="60" w:type="dxa"/>
            <w:tcBorders/>
            <w:shd w:fill="FFFFFF" w:val="clear"/>
            <w:vAlign w:val="center"/>
          </w:tcPr>
          <w:p>
            <w:pPr>
              <w:pStyle w:val="TableContents"/>
              <w:bidi w:val="0"/>
              <w:spacing w:before="0" w:after="283"/>
              <w:ind w:left="0" w:right="0" w:hanging="0"/>
              <w:jc w:val="left"/>
              <w:rPr/>
            </w:pPr>
            <w:r>
              <w:rPr/>
              <w:t> </w:t>
            </w:r>
          </w:p>
        </w:tc>
        <w:tc>
          <w:tcPr>
            <w:tcW w:w="25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18,672</w:t>
            </w:r>
          </w:p>
        </w:tc>
        <w:tc>
          <w:tcPr>
            <w:tcW w:w="64" w:type="dxa"/>
            <w:tcBorders/>
            <w:shd w:fill="FFFFFF" w:val="clear"/>
            <w:vAlign w:val="center"/>
          </w:tcPr>
          <w:p>
            <w:pPr>
              <w:pStyle w:val="TableContents"/>
              <w:bidi w:val="0"/>
              <w:spacing w:before="0" w:after="283"/>
              <w:jc w:val="left"/>
              <w:rPr/>
            </w:pPr>
            <w:r>
              <w:rPr/>
              <w:t> </w:t>
            </w:r>
          </w:p>
        </w:tc>
      </w:tr>
      <w:tr>
        <w:trPr/>
        <w:tc>
          <w:tcPr>
            <w:tcW w:w="4817"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cash flows from finance leases</w:t>
            </w:r>
          </w:p>
        </w:tc>
        <w:tc>
          <w:tcPr>
            <w:tcW w:w="60" w:type="dxa"/>
            <w:tcBorders/>
            <w:shd w:fill="CCEEFF" w:val="clear"/>
            <w:vAlign w:val="center"/>
          </w:tcPr>
          <w:p>
            <w:pPr>
              <w:pStyle w:val="TableContents"/>
              <w:bidi w:val="0"/>
              <w:spacing w:before="0" w:after="283"/>
              <w:ind w:left="0" w:right="0" w:hanging="0"/>
              <w:jc w:val="left"/>
              <w:rPr/>
            </w:pPr>
            <w:r>
              <w:rPr/>
              <w:t> </w:t>
            </w:r>
          </w:p>
        </w:tc>
        <w:tc>
          <w:tcPr>
            <w:tcW w:w="25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64" w:type="dxa"/>
            <w:tcBorders/>
            <w:shd w:fill="CCEEFF" w:val="clear"/>
            <w:vAlign w:val="center"/>
          </w:tcPr>
          <w:p>
            <w:pPr>
              <w:pStyle w:val="TableContents"/>
              <w:bidi w:val="0"/>
              <w:spacing w:before="0" w:after="283"/>
              <w:jc w:val="left"/>
              <w:rPr/>
            </w:pPr>
            <w:r>
              <w:rPr/>
              <w:t> </w:t>
            </w:r>
          </w:p>
        </w:tc>
      </w:tr>
      <w:tr>
        <w:trPr/>
        <w:tc>
          <w:tcPr>
            <w:tcW w:w="4817"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Financing cash flows from finance leases</w:t>
            </w:r>
          </w:p>
        </w:tc>
        <w:tc>
          <w:tcPr>
            <w:tcW w:w="60" w:type="dxa"/>
            <w:tcBorders/>
            <w:shd w:fill="FFFFFF" w:val="clear"/>
            <w:vAlign w:val="center"/>
          </w:tcPr>
          <w:p>
            <w:pPr>
              <w:pStyle w:val="TableContents"/>
              <w:bidi w:val="0"/>
              <w:spacing w:before="0" w:after="283"/>
              <w:ind w:left="0" w:right="0" w:hanging="0"/>
              <w:jc w:val="left"/>
              <w:rPr/>
            </w:pPr>
            <w:r>
              <w:rPr/>
              <w:t> </w:t>
            </w:r>
          </w:p>
        </w:tc>
        <w:tc>
          <w:tcPr>
            <w:tcW w:w="25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w:t>
            </w:r>
          </w:p>
        </w:tc>
        <w:tc>
          <w:tcPr>
            <w:tcW w:w="64" w:type="dxa"/>
            <w:tcBorders/>
            <w:shd w:fill="FFFFFF" w:val="clear"/>
            <w:vAlign w:val="center"/>
          </w:tcPr>
          <w:p>
            <w:pPr>
              <w:pStyle w:val="TableContents"/>
              <w:bidi w:val="0"/>
              <w:spacing w:before="0" w:after="283"/>
              <w:jc w:val="left"/>
              <w:rPr/>
            </w:pPr>
            <w:r>
              <w:rPr/>
              <w:t> </w:t>
            </w:r>
          </w:p>
        </w:tc>
      </w:tr>
      <w:tr>
        <w:trPr/>
        <w:tc>
          <w:tcPr>
            <w:tcW w:w="48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r>
      <w:tr>
        <w:trPr/>
        <w:tc>
          <w:tcPr>
            <w:tcW w:w="481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Supplemental noncash information on lease liabilities arising from obtaining right-of-use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25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79,352</w:t>
            </w:r>
          </w:p>
        </w:tc>
        <w:tc>
          <w:tcPr>
            <w:tcW w:w="64" w:type="dxa"/>
            <w:tcBorders/>
            <w:shd w:fill="FFFFFF" w:val="clear"/>
            <w:vAlign w:val="center"/>
          </w:tcPr>
          <w:p>
            <w:pPr>
              <w:pStyle w:val="TableContents"/>
              <w:bidi w:val="0"/>
              <w:spacing w:before="0" w:after="283"/>
              <w:ind w:left="0" w:right="0" w:hanging="0"/>
              <w:jc w:val="left"/>
              <w:rPr/>
            </w:pPr>
            <w:r>
              <w:rPr/>
              <w:t> </w:t>
            </w:r>
          </w:p>
        </w:tc>
      </w:tr>
      <w:tr>
        <w:trPr/>
        <w:tc>
          <w:tcPr>
            <w:tcW w:w="481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Supplemental noncash information on lease liabilities removed due to purchase of leased asset</w:t>
            </w:r>
          </w:p>
        </w:tc>
        <w:tc>
          <w:tcPr>
            <w:tcW w:w="60" w:type="dxa"/>
            <w:tcBorders/>
            <w:shd w:fill="CCEEFF" w:val="clear"/>
            <w:vAlign w:val="center"/>
          </w:tcPr>
          <w:p>
            <w:pPr>
              <w:pStyle w:val="TableContents"/>
              <w:bidi w:val="0"/>
              <w:spacing w:before="0" w:after="283"/>
              <w:ind w:left="0" w:right="0" w:hanging="0"/>
              <w:jc w:val="left"/>
              <w:rPr/>
            </w:pPr>
            <w:r>
              <w:rPr/>
              <w:t> </w:t>
            </w:r>
          </w:p>
        </w:tc>
        <w:tc>
          <w:tcPr>
            <w:tcW w:w="25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As of June 28, 2025, the maturities of lease liabilities were as follows:</w:t>
      </w:r>
    </w:p>
    <w:p>
      <w:pPr>
        <w:pStyle w:val="TextBody"/>
        <w:bidi w:val="0"/>
        <w:spacing w:before="0" w:after="0"/>
        <w:ind w:left="0" w:right="0" w:hanging="0"/>
        <w:jc w:val="left"/>
        <w:rPr/>
      </w:pPr>
      <w:r>
        <w:rPr/>
        <w:t> </w:t>
      </w:r>
    </w:p>
    <w:tbl>
      <w:tblPr>
        <w:tblW w:w="6503" w:type="dxa"/>
        <w:jc w:val="left"/>
        <w:tblInd w:w="0" w:type="dxa"/>
        <w:tblLayout w:type="fixed"/>
        <w:tblCellMar>
          <w:top w:w="0" w:type="dxa"/>
          <w:left w:w="0" w:type="dxa"/>
          <w:bottom w:w="0" w:type="dxa"/>
          <w:right w:w="0" w:type="dxa"/>
        </w:tblCellMar>
      </w:tblPr>
      <w:tblGrid>
        <w:gridCol w:w="3410"/>
        <w:gridCol w:w="60"/>
        <w:gridCol w:w="228"/>
        <w:gridCol w:w="1276"/>
        <w:gridCol w:w="80"/>
        <w:gridCol w:w="60"/>
        <w:gridCol w:w="267"/>
        <w:gridCol w:w="1042"/>
        <w:gridCol w:w="80"/>
      </w:tblGrid>
      <w:tr>
        <w:trPr/>
        <w:tc>
          <w:tcPr>
            <w:tcW w:w="3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Leases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Finance Leases</w:t>
            </w:r>
          </w:p>
        </w:tc>
        <w:tc>
          <w:tcPr>
            <w:tcW w:w="80" w:type="dxa"/>
            <w:tcBorders/>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Three months ending September 27, 2025</w:t>
            </w:r>
          </w:p>
        </w:tc>
        <w:tc>
          <w:tcPr>
            <w:tcW w:w="60" w:type="dxa"/>
            <w:tcBorders/>
            <w:shd w:fill="CCEEFF" w:val="clear"/>
            <w:vAlign w:val="center"/>
          </w:tcPr>
          <w:p>
            <w:pPr>
              <w:pStyle w:val="TableContents"/>
              <w:bidi w:val="0"/>
              <w:spacing w:before="0" w:after="283"/>
              <w:ind w:left="0" w:right="0" w:hanging="0"/>
              <w:jc w:val="left"/>
              <w:rPr/>
            </w:pPr>
            <w:r>
              <w:rPr/>
              <w:t> </w:t>
            </w:r>
          </w:p>
        </w:tc>
        <w:tc>
          <w:tcPr>
            <w:tcW w:w="2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w:t>
            </w:r>
          </w:p>
        </w:tc>
        <w:tc>
          <w:tcPr>
            <w:tcW w:w="80" w:type="dxa"/>
            <w:tcBorders/>
            <w:shd w:fill="CCEE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12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ind w:left="0" w:right="0" w:hanging="0"/>
              <w:jc w:val="left"/>
              <w:rPr/>
            </w:pPr>
            <w:r>
              <w:rPr/>
              <w:t> </w:t>
            </w:r>
          </w:p>
        </w:tc>
        <w:tc>
          <w:tcPr>
            <w:tcW w:w="10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w:t>
            </w:r>
          </w:p>
        </w:tc>
        <w:tc>
          <w:tcPr>
            <w:tcW w:w="80"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12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ind w:left="0" w:right="0" w:hanging="0"/>
              <w:jc w:val="left"/>
              <w:rPr/>
            </w:pPr>
            <w:r>
              <w:rPr/>
              <w:t> </w:t>
            </w:r>
          </w:p>
        </w:tc>
        <w:tc>
          <w:tcPr>
            <w:tcW w:w="10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562</w:t>
            </w:r>
          </w:p>
        </w:tc>
        <w:tc>
          <w:tcPr>
            <w:tcW w:w="80" w:type="dxa"/>
            <w:tcBorders/>
            <w:shd w:fill="CCEE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12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ind w:left="0" w:right="0" w:hanging="0"/>
              <w:jc w:val="left"/>
              <w:rPr/>
            </w:pPr>
            <w:r>
              <w:rPr/>
              <w:t> </w:t>
            </w:r>
          </w:p>
        </w:tc>
        <w:tc>
          <w:tcPr>
            <w:tcW w:w="10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w:t>
            </w:r>
          </w:p>
        </w:tc>
        <w:tc>
          <w:tcPr>
            <w:tcW w:w="80"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12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ind w:left="0" w:right="0" w:hanging="0"/>
              <w:jc w:val="left"/>
              <w:rPr/>
            </w:pPr>
            <w:r>
              <w:rPr/>
              <w:t> </w:t>
            </w:r>
          </w:p>
        </w:tc>
        <w:tc>
          <w:tcPr>
            <w:tcW w:w="10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w:t>
            </w:r>
          </w:p>
        </w:tc>
        <w:tc>
          <w:tcPr>
            <w:tcW w:w="80" w:type="dxa"/>
            <w:tcBorders/>
            <w:shd w:fill="CCEE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Thereafter</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123,032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w:t>
            </w:r>
          </w:p>
        </w:tc>
        <w:tc>
          <w:tcPr>
            <w:tcW w:w="80"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minimum payments</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12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226,591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ind w:left="0" w:right="0" w:hanging="0"/>
              <w:jc w:val="left"/>
              <w:rPr/>
            </w:pPr>
            <w:r>
              <w:rPr/>
              <w:t> </w:t>
            </w:r>
          </w:p>
        </w:tc>
        <w:tc>
          <w:tcPr>
            <w:tcW w:w="10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2,270</w:t>
            </w:r>
          </w:p>
        </w:tc>
        <w:tc>
          <w:tcPr>
            <w:tcW w:w="80" w:type="dxa"/>
            <w:tcBorders/>
            <w:shd w:fill="CCEE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amount representing interest</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(61,487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1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Present value of lease obligations</w:t>
            </w:r>
          </w:p>
        </w:tc>
        <w:tc>
          <w:tcPr>
            <w:tcW w:w="60" w:type="dxa"/>
            <w:tcBorders/>
            <w:shd w:fill="CCEEFF" w:val="clear"/>
            <w:vAlign w:val="center"/>
          </w:tcPr>
          <w:p>
            <w:pPr>
              <w:pStyle w:val="TableContents"/>
              <w:bidi w:val="0"/>
              <w:spacing w:before="0" w:after="283"/>
              <w:ind w:left="0" w:right="0" w:hanging="0"/>
              <w:jc w:val="left"/>
              <w:rPr/>
            </w:pPr>
            <w:r>
              <w:rPr/>
              <w:t> </w:t>
            </w:r>
          </w:p>
        </w:tc>
        <w:tc>
          <w:tcPr>
            <w:tcW w:w="2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165,104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2,082</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As of June 28, 2025 the weighted-average remaining term of our operating and finance leases was 14.9 years and 4.3 years, respectively.</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As of September 28, 2024 the weighted-average remaining term of our operating and finance leases was 12.6 years and 3.6 years, respectively.</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jc w:val="left"/>
        <w:rPr/>
      </w:pPr>
      <w:r>
        <w:rPr/>
        <w:t> </w:t>
      </w:r>
    </w:p>
    <w:tbl>
      <w:tblPr>
        <w:tblW w:w="1975" w:type="dxa"/>
        <w:jc w:val="left"/>
        <w:tblInd w:w="0" w:type="dxa"/>
        <w:tblLayout w:type="fixed"/>
        <w:tblCellMar>
          <w:top w:w="0" w:type="dxa"/>
          <w:left w:w="0" w:type="dxa"/>
          <w:bottom w:w="0" w:type="dxa"/>
          <w:right w:w="0" w:type="dxa"/>
        </w:tblCellMar>
      </w:tblPr>
      <w:tblGrid>
        <w:gridCol w:w="665"/>
        <w:gridCol w:w="1310"/>
      </w:tblGrid>
      <w:tr>
        <w:trPr/>
        <w:tc>
          <w:tcPr>
            <w:tcW w:w="6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16</w:t>
            </w:r>
          </w:p>
        </w:tc>
        <w:tc>
          <w:tcPr>
            <w:tcW w:w="131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Related Parties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NFI Industries,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We have related party expenses for distribution and shipping related costs with NFI Industries, Inc. and its affiliated entities (“NFI”). Our director, Sidney R. Brown, is CEO and an owner of NFI Industries,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payments to NFI were as follows:</w:t>
      </w:r>
    </w:p>
    <w:p>
      <w:pPr>
        <w:pStyle w:val="TextBody"/>
        <w:bidi w:val="0"/>
        <w:spacing w:before="0" w:after="0"/>
        <w:ind w:left="0" w:right="0" w:hanging="0"/>
        <w:jc w:val="left"/>
        <w:rPr>
          <w:caps w:val="false"/>
          <w:smallCaps w:val="false"/>
        </w:rPr>
      </w:pPr>
      <w:r>
        <w:rPr>
          <w:caps w:val="false"/>
          <w:smallCaps w:val="false"/>
        </w:rPr>
        <w:t> </w:t>
      </w:r>
    </w:p>
    <w:tbl>
      <w:tblPr>
        <w:tblW w:w="7669" w:type="dxa"/>
        <w:jc w:val="left"/>
        <w:tblInd w:w="0" w:type="dxa"/>
        <w:tblLayout w:type="fixed"/>
        <w:tblCellMar>
          <w:top w:w="0" w:type="dxa"/>
          <w:left w:w="0" w:type="dxa"/>
          <w:bottom w:w="0" w:type="dxa"/>
          <w:right w:w="0" w:type="dxa"/>
        </w:tblCellMar>
      </w:tblPr>
      <w:tblGrid>
        <w:gridCol w:w="4085"/>
        <w:gridCol w:w="60"/>
        <w:gridCol w:w="191"/>
        <w:gridCol w:w="581"/>
        <w:gridCol w:w="91"/>
        <w:gridCol w:w="91"/>
        <w:gridCol w:w="191"/>
        <w:gridCol w:w="581"/>
        <w:gridCol w:w="60"/>
        <w:gridCol w:w="60"/>
        <w:gridCol w:w="179"/>
        <w:gridCol w:w="545"/>
        <w:gridCol w:w="85"/>
        <w:gridCol w:w="85"/>
        <w:gridCol w:w="179"/>
        <w:gridCol w:w="545"/>
        <w:gridCol w:w="60"/>
      </w:tblGrid>
      <w:tr>
        <w:trPr/>
        <w:tc>
          <w:tcPr>
            <w:tcW w:w="4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2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1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tc>
        <w:tc>
          <w:tcPr>
            <w:tcW w:w="60" w:type="dxa"/>
            <w:tcBorders/>
            <w:vAlign w:val="center"/>
          </w:tcPr>
          <w:p>
            <w:pPr>
              <w:pStyle w:val="TableContents"/>
              <w:bidi w:val="0"/>
              <w:spacing w:before="0" w:after="283"/>
              <w:jc w:val="left"/>
              <w:rPr/>
            </w:pPr>
            <w:r>
              <w:rPr/>
              <w:t> </w:t>
            </w:r>
          </w:p>
        </w:tc>
      </w:tr>
      <w:tr>
        <w:trPr/>
        <w:tc>
          <w:tcPr>
            <w:tcW w:w="4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2"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ind w:left="0" w:right="0" w:hanging="0"/>
              <w:jc w:val="left"/>
              <w:rPr/>
            </w:pPr>
            <w:r>
              <w:rPr/>
              <w:t> </w:t>
            </w:r>
          </w:p>
        </w:tc>
        <w:tc>
          <w:tcPr>
            <w:tcW w:w="772"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ind w:left="0" w:right="0" w:hanging="0"/>
              <w:jc w:val="left"/>
              <w:rPr/>
            </w:pPr>
            <w:r>
              <w:rPr/>
              <w:t> </w:t>
            </w:r>
          </w:p>
        </w:tc>
        <w:tc>
          <w:tcPr>
            <w:tcW w:w="72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29,</w:t>
            </w:r>
          </w:p>
        </w:tc>
        <w:tc>
          <w:tcPr>
            <w:tcW w:w="60" w:type="dxa"/>
            <w:tcBorders/>
            <w:vAlign w:val="center"/>
          </w:tcPr>
          <w:p>
            <w:pPr>
              <w:pStyle w:val="TableContents"/>
              <w:bidi w:val="0"/>
              <w:spacing w:before="0" w:after="283"/>
              <w:jc w:val="left"/>
              <w:rPr/>
            </w:pPr>
            <w:r>
              <w:rPr/>
              <w:t> </w:t>
            </w:r>
          </w:p>
        </w:tc>
      </w:tr>
      <w:tr>
        <w:trPr/>
        <w:tc>
          <w:tcPr>
            <w:tcW w:w="4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ind w:left="0" w:right="0" w:hanging="0"/>
              <w:jc w:val="left"/>
              <w:rPr/>
            </w:pPr>
            <w:r>
              <w:rPr/>
              <w:t> </w:t>
            </w:r>
          </w:p>
        </w:tc>
        <w:tc>
          <w:tcPr>
            <w:tcW w:w="7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r>
      <w:tr>
        <w:trPr/>
        <w:tc>
          <w:tcPr>
            <w:tcW w:w="4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26"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(in millions)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18"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(in millions) </w:t>
            </w:r>
          </w:p>
        </w:tc>
        <w:tc>
          <w:tcPr>
            <w:tcW w:w="60" w:type="dxa"/>
            <w:tcBorders/>
            <w:vAlign w:val="center"/>
          </w:tcPr>
          <w:p>
            <w:pPr>
              <w:pStyle w:val="TableContents"/>
              <w:bidi w:val="0"/>
              <w:spacing w:before="0" w:after="283"/>
              <w:jc w:val="left"/>
              <w:rPr/>
            </w:pPr>
            <w:r>
              <w:rPr/>
              <w:t> </w:t>
            </w:r>
          </w:p>
        </w:tc>
      </w:tr>
      <w:tr>
        <w:trPr/>
        <w:tc>
          <w:tcPr>
            <w:tcW w:w="4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40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Transportation management services payments (1)</w:t>
            </w:r>
          </w:p>
        </w:tc>
        <w:tc>
          <w:tcPr>
            <w:tcW w:w="60" w:type="dxa"/>
            <w:tcBorders/>
            <w:shd w:fill="CCEEFF" w:val="clear"/>
            <w:vAlign w:val="center"/>
          </w:tcPr>
          <w:p>
            <w:pPr>
              <w:pStyle w:val="TableContents"/>
              <w:bidi w:val="0"/>
              <w:spacing w:before="0" w:after="283"/>
              <w:ind w:left="0" w:right="0" w:hanging="0"/>
              <w:jc w:val="left"/>
              <w:rPr/>
            </w:pPr>
            <w:r>
              <w:rPr/>
              <w:t> </w:t>
            </w:r>
          </w:p>
        </w:tc>
        <w:tc>
          <w:tcPr>
            <w:tcW w:w="19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19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w:t>
            </w:r>
          </w:p>
        </w:tc>
        <w:tc>
          <w:tcPr>
            <w:tcW w:w="60" w:type="dxa"/>
            <w:tcBorders/>
            <w:shd w:fill="CCEEFF" w:val="clear"/>
            <w:vAlign w:val="center"/>
          </w:tcPr>
          <w:p>
            <w:pPr>
              <w:pStyle w:val="TableContents"/>
              <w:bidi w:val="0"/>
              <w:spacing w:before="0" w:after="283"/>
              <w:jc w:val="left"/>
              <w:rPr/>
            </w:pPr>
            <w:r>
              <w:rPr/>
              <w:t> </w:t>
            </w:r>
          </w:p>
        </w:tc>
      </w:tr>
      <w:tr>
        <w:trPr/>
        <w:tc>
          <w:tcPr>
            <w:tcW w:w="40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Labor management services payments (2)</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5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5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p>
        </w:tc>
        <w:tc>
          <w:tcPr>
            <w:tcW w:w="60" w:type="dxa"/>
            <w:tcBorders/>
            <w:shd w:fill="FFFFFF" w:val="clear"/>
            <w:vAlign w:val="center"/>
          </w:tcPr>
          <w:p>
            <w:pPr>
              <w:pStyle w:val="TableContents"/>
              <w:bidi w:val="0"/>
              <w:spacing w:before="0" w:after="283"/>
              <w:jc w:val="left"/>
              <w:rPr/>
            </w:pPr>
            <w:r>
              <w:rPr/>
              <w:t> </w:t>
            </w:r>
          </w:p>
        </w:tc>
      </w:tr>
      <w:tr>
        <w:trPr/>
        <w:tc>
          <w:tcPr>
            <w:tcW w:w="40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payments (3)</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5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5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60" w:type="dxa"/>
            <w:tcBorders/>
            <w:shd w:fill="CCEEFF" w:val="clear"/>
            <w:vAlign w:val="center"/>
          </w:tcPr>
          <w:p>
            <w:pPr>
              <w:pStyle w:val="TableContents"/>
              <w:bidi w:val="0"/>
              <w:spacing w:before="0" w:after="283"/>
              <w:jc w:val="left"/>
              <w:rPr/>
            </w:pPr>
            <w:r>
              <w:rPr/>
              <w:t> </w:t>
            </w:r>
          </w:p>
        </w:tc>
      </w:tr>
      <w:tr>
        <w:trPr/>
        <w:tc>
          <w:tcPr>
            <w:tcW w:w="40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Pass through payments to third parties (4)</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w:t>
            </w:r>
          </w:p>
        </w:tc>
        <w:tc>
          <w:tcPr>
            <w:tcW w:w="60" w:type="dxa"/>
            <w:tcBorders/>
            <w:shd w:fill="FFFFFF" w:val="clear"/>
            <w:vAlign w:val="center"/>
          </w:tcPr>
          <w:p>
            <w:pPr>
              <w:pStyle w:val="TableContents"/>
              <w:bidi w:val="0"/>
              <w:spacing w:before="0" w:after="283"/>
              <w:jc w:val="left"/>
              <w:rPr/>
            </w:pPr>
            <w:r>
              <w:rPr/>
              <w:t> </w:t>
            </w:r>
          </w:p>
        </w:tc>
      </w:tr>
      <w:tr>
        <w:trPr/>
        <w:tc>
          <w:tcPr>
            <w:tcW w:w="40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amount distributed to NFI</w:t>
            </w:r>
          </w:p>
        </w:tc>
        <w:tc>
          <w:tcPr>
            <w:tcW w:w="60" w:type="dxa"/>
            <w:tcBorders/>
            <w:shd w:fill="CCEEFF" w:val="cle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54.6</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3"/>
        <w:gridCol w:w="9932"/>
      </w:tblGrid>
      <w:tr>
        <w:trPr/>
        <w:tc>
          <w:tcPr>
            <w:tcW w:w="6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3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 is contracted with NFI for transportation management services, which involves the arrangement for the distribution of the Company's goods. This amount represents the payments for management fees associated with this service.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4"/>
        <w:gridCol w:w="9931"/>
      </w:tblGrid>
      <w:tr>
        <w:trPr/>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3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 is entered into a master service agreement with NFI for the operations and labor management of our three regional distribution centers. This amount represents the payments to NFI for services rendered under this contract.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92"/>
        <w:gridCol w:w="9953"/>
      </w:tblGrid>
      <w:tr>
        <w:trPr/>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995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June 2023, the Company began leasing a regional distribution center in Terrell, Texas that was constructed by, and is owned by, a subsidiary of NFI. This amount represents the lease payments associated with the lease arrangement. At the lease commencement date, $28.7 million was recorded as an operating right-of-use asset, $0.2 million was recorded as a current operating lease liability, and $28.5 million was recorded as a non-current operating lease liability. As of June 28, 2025, $26.7 million was recorded as an operating right-of-use asset, $0.6 million was recorded as a current operating lease liability, and $27.6 million was recorded as a non-current operating lease liability. As of September 28, 2024, $27.4 million was recorded as an operating right-of-use asset, $0.6 million was recorded as a current operating lease liability, and $28.0 million was recorded as a non-current operating lease liability.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3"/>
        <w:gridCol w:w="9912"/>
      </w:tblGrid>
      <w:tr>
        <w:trPr/>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991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This amount represents passed through payments to third-party distribution and shipping vendors that are managed on the Company's behalf by NFI.</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As of June 28, 2025, and September 28, 2024, related party trade payables of approximately $4.5 million and $0.6 million, respectively, were recorded as accounts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All agreements with NFI include terms that are consistent with those that we believe would have been negotiated at an arm’s length with an independent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AMC Global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We incur related party expenses for attitudinal and research services with AMC Global, a global marketing research company. The husband of our director, Marjorie Roshkoff, is CEO and owner of AMC Global. In the nine months ended June 28, 2025, the Company did not incur any expenses with AMC Global, and in the nine months ended June 29, 2024, the Company paid AMC Global $76,500 for these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Additionally, the Company pays board advisory consulting fees to the husband of our director, Marjorie Roshkoff. In both the three and nine months ended June 28, 2025 and June 29, 2024, the Company paid $13,000 and $38,000 for these board advisory consulting fees,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095" w:type="dxa"/>
        <w:jc w:val="left"/>
        <w:tblInd w:w="0" w:type="dxa"/>
        <w:tblLayout w:type="fixed"/>
        <w:tblCellMar>
          <w:top w:w="0" w:type="dxa"/>
          <w:left w:w="0" w:type="dxa"/>
          <w:bottom w:w="0" w:type="dxa"/>
          <w:right w:w="0" w:type="dxa"/>
        </w:tblCellMar>
      </w:tblPr>
      <w:tblGrid>
        <w:gridCol w:w="665"/>
        <w:gridCol w:w="1430"/>
      </w:tblGrid>
      <w:tr>
        <w:trPr/>
        <w:tc>
          <w:tcPr>
            <w:tcW w:w="6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17</w:t>
            </w:r>
          </w:p>
        </w:tc>
        <w:tc>
          <w:tcPr>
            <w:tcW w:w="143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Reclassifications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Certain prior year financial statements amounts have been reclassified to be consistent with the presentation for the current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980" w:type="dxa"/>
        <w:jc w:val="left"/>
        <w:tblInd w:w="0" w:type="dxa"/>
        <w:tblLayout w:type="fixed"/>
        <w:tblCellMar>
          <w:top w:w="0" w:type="dxa"/>
          <w:left w:w="0" w:type="dxa"/>
          <w:bottom w:w="0" w:type="dxa"/>
          <w:right w:w="0" w:type="dxa"/>
        </w:tblCellMar>
      </w:tblPr>
      <w:tblGrid>
        <w:gridCol w:w="665"/>
        <w:gridCol w:w="2315"/>
      </w:tblGrid>
      <w:tr>
        <w:trPr/>
        <w:tc>
          <w:tcPr>
            <w:tcW w:w="6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18</w:t>
            </w:r>
          </w:p>
        </w:tc>
        <w:tc>
          <w:tcPr>
            <w:tcW w:w="23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Share repurchase program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On February 3, 2025, the Company announced that the Board of Directors authorized a share repurchase program (the “2025 Share Repurchase Program”) pursuant to which the Company could repurchase up to $50.0 million of the Company’s common stock, exclusive of any fees, commissions, and other expenses related to such repurchases. Under the 2025 Share Repurchase Program, the Company may repurchase its common stock from time to time, in amounts, at prices, and at such times as the Company deems appropriate, subject to market conditions, legal requirements, and other considerations. The Company’s repurchases may be executed using open market purchases, unsolicited or solicited privately negotiated transactions, or other transactions, and may be affected pursuant to trading plans intended to qualify under Rule 10b5-1 of the Securities Exchange Act of 1934, as amended. The 2025 Share Repurchase Program is effective for two years; however, the 2025 Share Repurchase Program does not obligate the Company to repurchase any specific number of shares and may be suspended, modified or terminated at any time without prior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In March 2025, the Company repurchased 39,061 shares of common stock of the Company at an average price of $128.00 per share on the open market, pursuant to the share repurchase program. As of the date of the repurchase, the repurchased shares were retired and returned to the status of authorized but unissued shares of common stock.</w:t>
      </w:r>
    </w:p>
    <w:p>
      <w:pPr>
        <w:pStyle w:val="TextBody"/>
        <w:bidi w:val="0"/>
        <w:spacing w:before="0" w:after="0"/>
        <w:ind w:left="0" w:right="0" w:hanging="0"/>
        <w:jc w:val="left"/>
        <w:rPr>
          <w:caps w:val="false"/>
          <w:smallCaps w:val="false"/>
        </w:rPr>
      </w:pPr>
      <w:r>
        <w:rPr>
          <w:caps w:val="false"/>
          <w:smallCaps w:val="false"/>
        </w:rPr>
        <w:t> </w:t>
      </w:r>
    </w:p>
    <w:tbl>
      <w:tblPr>
        <w:tblW w:w="6853" w:type="dxa"/>
        <w:jc w:val="left"/>
        <w:tblInd w:w="0" w:type="dxa"/>
        <w:tblLayout w:type="fixed"/>
        <w:tblCellMar>
          <w:top w:w="0" w:type="dxa"/>
          <w:left w:w="0" w:type="dxa"/>
          <w:bottom w:w="0" w:type="dxa"/>
          <w:right w:w="0" w:type="dxa"/>
        </w:tblCellMar>
      </w:tblPr>
      <w:tblGrid>
        <w:gridCol w:w="2765"/>
        <w:gridCol w:w="60"/>
        <w:gridCol w:w="442"/>
        <w:gridCol w:w="282"/>
        <w:gridCol w:w="193"/>
        <w:gridCol w:w="193"/>
        <w:gridCol w:w="433"/>
        <w:gridCol w:w="291"/>
        <w:gridCol w:w="60"/>
        <w:gridCol w:w="60"/>
        <w:gridCol w:w="193"/>
        <w:gridCol w:w="913"/>
        <w:gridCol w:w="92"/>
        <w:gridCol w:w="92"/>
        <w:gridCol w:w="441"/>
        <w:gridCol w:w="283"/>
        <w:gridCol w:w="60"/>
      </w:tblGrid>
      <w:tr>
        <w:trPr/>
        <w:tc>
          <w:tcPr>
            <w:tcW w:w="2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3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1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tc>
        <w:tc>
          <w:tcPr>
            <w:tcW w:w="60"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w:t>
            </w:r>
          </w:p>
        </w:tc>
        <w:tc>
          <w:tcPr>
            <w:tcW w:w="193"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ind w:left="0" w:right="0" w:hanging="0"/>
              <w:jc w:val="left"/>
              <w:rPr/>
            </w:pPr>
            <w:r>
              <w:rPr/>
              <w:t> </w:t>
            </w:r>
          </w:p>
        </w:tc>
        <w:tc>
          <w:tcPr>
            <w:tcW w:w="72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0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ind w:left="0" w:right="0" w:hanging="0"/>
              <w:jc w:val="left"/>
              <w:rPr/>
            </w:pPr>
            <w:r>
              <w:rPr/>
              <w:t> </w:t>
            </w:r>
          </w:p>
        </w:tc>
        <w:tc>
          <w:tcPr>
            <w:tcW w:w="72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29,</w:t>
            </w:r>
          </w:p>
        </w:tc>
        <w:tc>
          <w:tcPr>
            <w:tcW w:w="60"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93"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repurchased (in thousands)</w:t>
            </w:r>
          </w:p>
        </w:tc>
        <w:tc>
          <w:tcPr>
            <w:tcW w:w="60"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ind w:left="0" w:right="0" w:hanging="0"/>
              <w:jc w:val="left"/>
              <w:rPr/>
            </w:pPr>
            <w:r>
              <w:rPr/>
              <w:t> </w:t>
            </w:r>
          </w:p>
        </w:tc>
        <w:tc>
          <w:tcPr>
            <w:tcW w:w="2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93"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ind w:left="0" w:right="0" w:hanging="0"/>
              <w:jc w:val="left"/>
              <w:rPr/>
            </w:pPr>
            <w:r>
              <w:rPr/>
              <w:t> </w:t>
            </w:r>
          </w:p>
        </w:tc>
        <w:tc>
          <w:tcPr>
            <w:tcW w:w="2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ind w:left="0" w:right="0" w:hanging="0"/>
              <w:jc w:val="left"/>
              <w:rPr/>
            </w:pPr>
            <w:r>
              <w:rPr/>
              <w:t> </w:t>
            </w:r>
          </w:p>
        </w:tc>
        <w:tc>
          <w:tcPr>
            <w:tcW w:w="9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ind w:left="0" w:right="0" w:hanging="0"/>
              <w:jc w:val="left"/>
              <w:rPr/>
            </w:pPr>
            <w:r>
              <w:rPr/>
              <w:t> </w:t>
            </w:r>
          </w:p>
        </w:tc>
        <w:tc>
          <w:tcPr>
            <w:tcW w:w="2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Average price per share</w:t>
            </w:r>
          </w:p>
        </w:tc>
        <w:tc>
          <w:tcPr>
            <w:tcW w:w="60" w:type="dxa"/>
            <w:tcBorders/>
            <w:shd w:fill="FFFFFF" w:val="clear"/>
            <w:vAlign w:val="center"/>
          </w:tcPr>
          <w:p>
            <w:pPr>
              <w:pStyle w:val="TableContents"/>
              <w:bidi w:val="0"/>
              <w:spacing w:before="0" w:after="283"/>
              <w:ind w:left="0" w:right="0" w:hanging="0"/>
              <w:jc w:val="left"/>
              <w:rPr/>
            </w:pPr>
            <w:r>
              <w:rPr/>
              <w:t> </w:t>
            </w:r>
          </w:p>
        </w:tc>
        <w:tc>
          <w:tcPr>
            <w:tcW w:w="44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93"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ind w:left="0" w:right="0" w:hanging="0"/>
              <w:jc w:val="left"/>
              <w:rPr/>
            </w:pPr>
            <w:r>
              <w:rPr/>
              <w:t> </w:t>
            </w:r>
          </w:p>
        </w:tc>
        <w:tc>
          <w:tcPr>
            <w:tcW w:w="43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128.00</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44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investment (in thousands)</w:t>
            </w:r>
          </w:p>
        </w:tc>
        <w:tc>
          <w:tcPr>
            <w:tcW w:w="60" w:type="dxa"/>
            <w:tcBorders/>
            <w:shd w:fill="CCEEFF" w:val="clear"/>
            <w:vAlign w:val="center"/>
          </w:tcPr>
          <w:p>
            <w:pPr>
              <w:pStyle w:val="TableContents"/>
              <w:bidi w:val="0"/>
              <w:spacing w:before="0" w:after="283"/>
              <w:ind w:left="0" w:right="0" w:hanging="0"/>
              <w:jc w:val="left"/>
              <w:rPr/>
            </w:pPr>
            <w:r>
              <w:rPr/>
              <w:t> </w:t>
            </w:r>
          </w:p>
        </w:tc>
        <w:tc>
          <w:tcPr>
            <w:tcW w:w="4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93"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ind w:left="0" w:right="0" w:hanging="0"/>
              <w:jc w:val="left"/>
              <w:rPr/>
            </w:pPr>
            <w:r>
              <w:rPr/>
              <w:t> </w:t>
            </w:r>
          </w:p>
        </w:tc>
        <w:tc>
          <w:tcPr>
            <w:tcW w:w="4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4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As a result of the Company’s stock repurchases, there remains $45.0 million of share repurchase availability under the 2025 Share Repurchase Program as of June 28, 2025.</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2. 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Statements made in this Form 10-Q that are not historical or current facts are “forward-looking statements” made pursuant to the safe harbor provisions of Section 27A of the Securities Act of 1933, as amended (the “Securities Act”), and Section 21E of the Securities Exchange Act of 1934, as amended (the “Exchange Act”). These statements discuss goals, intentions and expectations as to future trends, plans, events, results of operations or financial condition, or state other information relating to us, based on our current beliefs as well as assumptions made by us and information currently available to us. Forward-looking statements generally will be accompanied by words such as "anticipate," "if," "may," "believe," "plan,", "goals," "estimate," "expect," "project," "continue," "forecast," "intend," "may," "could," "should," "will," and other similar expressions. Statements addressing our future operating performance and statements addressing events and developments that we expect or anticipate will occur are also considered forward-looking statements. This includes, without limitation, our statements and expectations regarding any current or future recovery in our industry (or the industries of our customers), the success of new product innovations, the impact of tariffs and other government regulations, and the future impact of our supply chain efficiency projects, including facility optimization projects and investments in additional production capacity and logistics and warehousing operations. Such forward-looking statements are inherently uncertain, and readers must recognize that actual results may differ materially from the expectations of management. We intend that such forward-looking statements be subject to the safe harbor provisions of the Securities Act and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wish to caution readers not to place undue reliance on any such forward-looking statements, which speak as of the date made. Any forward-looking statements represent our best judgment as to what may occur in the future. However, forward-looking statements are subject to risks, uncertainties, and important factors beyond our control that could cause actual results and events to differ materially from historical results of operations and events and those presently anticipated or projected. We disclaim any obligation to revise, update, add or to otherwise correct, any forward-looking statements to reflect events or circumstances after the date of such statement or to reflect the occurrence of anticipated or unanticipated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Objective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Management’s Discussion and Analysis of Financial Condition and Results of Operations is intended to provide readers of our financial statements with a narrative form from the perspective of our management regarding our financial condition and results of operations, liquidity and certain other factors that may affect our future results. The following discussion should be read in conjunction with the consolidated financial statements and accompanying notes included in Part I, Item 1 of this Quarterly Report on Form 10-Q and within the Company’s Annual Report on Form 10-K filed for the fiscal year ended September 28,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Business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manufactures and sells snack foods and distributes frozen beverages, which it markets nationally to the foodservice and retail supermarket industries. The Company’s principal snack food products are soft pretzels, frozen novelties, churros and bakery products. We believe we are the largest manufacturer of soft pretzels in the United States. Other snack food products include donuts, churros, cookies, funnel cake and handheld products. The Company’s principal frozen beverage products are the ICEE brand frozen carbonated beverage and the SLUSH PUPPIE brand frozen non-carbonated beverage. The Company’s Food Service and Frozen Beverage sales are made principally to foodservice customers including snack bar and food stand locations in leading chain, department, discount, warehouse club and convenience stores; malls and shopping centers; fast food and casual dining restaurants; stadiums and sports arenas; leisure and theme parks; movie theaters; independent retailers; and schools, colleges and other institutions. The Company’s Retail Supermarket customers are primarily supermarket chains.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Business Trends and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results are impacted by macroeconomic and demographic trends and changes in consumer behavior. The U.S. economy has experienced economic volatility and uncertainty in recent years, which has had, and we expect might continue to have, an impact on consumer behavior. Consumer spending may continue to be impacted by levels of discretionary income and the impact of that on the consumer’s decisions making around their purchases.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industry continues to face specific challenges arising from consumer and economic uncertainty due to inflation and rapid changes in global trade policies including the announced tariff increases and potential additional tariff increases. We expect that consumer trends will continue to evolve, and economic pressures on consumers, including the challenges of high inflation and the impact of increased tariffs, may have an impact on our volumes. In addition, inflation and fluctuating raw material costs may continue to impact the costs of our products.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help combat these potential headwinds, we strategically look to improve our operational efficiencies and margins, as well as expand our growth opportunities across our various channels and customers. Some recent examples of implementing these strategies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recently completed strategic supply chain transformation in which we opened three regional distribution centers which is projected to drive significant cost reductions around warehousing and distribution costs.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recent addition of six new production lines which has significantly expanded our capacity and allowed us to meet growth opportunities across our core products such as pretzels, churros and frozen novelties.</w:t>
            </w:r>
          </w:p>
        </w:tc>
      </w:tr>
    </w:tbl>
    <w:tbl>
      <w:tblPr>
        <w:tblW w:w="9670" w:type="dxa"/>
        <w:jc w:val="left"/>
        <w:tblInd w:w="0" w:type="dxa"/>
        <w:tblLayout w:type="fixed"/>
        <w:tblCellMar>
          <w:top w:w="0" w:type="dxa"/>
          <w:left w:w="0" w:type="dxa"/>
          <w:bottom w:w="0" w:type="dxa"/>
          <w:right w:w="0" w:type="dxa"/>
        </w:tblCellMar>
      </w:tblPr>
      <w:tblGrid>
        <w:gridCol w:w="60"/>
        <w:gridCol w:w="170"/>
        <w:gridCol w:w="94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4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Implementation of a new ERP system in fiscal 2022 which has helped to create efficiencies and streamline processes.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Increased successful cross-selling activities and leveraging our brands across customer channels, including our recent expansion of the breadth and depth of our Dippin’ Dots brand across the theater channel, as well as penetrating that brand into the retail market.</w:t>
            </w:r>
          </w:p>
        </w:tc>
      </w:tr>
    </w:tbl>
    <w:tbl>
      <w:tblPr>
        <w:tblW w:w="4510" w:type="dxa"/>
        <w:jc w:val="left"/>
        <w:tblInd w:w="0" w:type="dxa"/>
        <w:tblLayout w:type="fixed"/>
        <w:tblCellMar>
          <w:top w:w="0" w:type="dxa"/>
          <w:left w:w="0" w:type="dxa"/>
          <w:bottom w:w="0" w:type="dxa"/>
          <w:right w:w="0" w:type="dxa"/>
        </w:tblCellMar>
      </w:tblPr>
      <w:tblGrid>
        <w:gridCol w:w="60"/>
        <w:gridCol w:w="170"/>
        <w:gridCol w:w="42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2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 update to our SuperPretzel recipe and packaging.</w:t>
            </w:r>
          </w:p>
        </w:tc>
      </w:tr>
    </w:tbl>
    <w:tbl>
      <w:tblPr>
        <w:tblW w:w="5125" w:type="dxa"/>
        <w:jc w:val="left"/>
        <w:tblInd w:w="0" w:type="dxa"/>
        <w:tblLayout w:type="fixed"/>
        <w:tblCellMar>
          <w:top w:w="0" w:type="dxa"/>
          <w:left w:w="0" w:type="dxa"/>
          <w:bottom w:w="0" w:type="dxa"/>
          <w:right w:w="0" w:type="dxa"/>
        </w:tblCellMar>
      </w:tblPr>
      <w:tblGrid>
        <w:gridCol w:w="60"/>
        <w:gridCol w:w="170"/>
        <w:gridCol w:w="48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8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fiscal year 2023 rollout of our new Hola! Churros brand.</w:t>
            </w:r>
          </w:p>
        </w:tc>
      </w:tr>
    </w:tbl>
    <w:tbl>
      <w:tblPr>
        <w:tblW w:w="8200" w:type="dxa"/>
        <w:jc w:val="left"/>
        <w:tblInd w:w="0" w:type="dxa"/>
        <w:tblLayout w:type="fixed"/>
        <w:tblCellMar>
          <w:top w:w="0" w:type="dxa"/>
          <w:left w:w="0" w:type="dxa"/>
          <w:bottom w:w="0" w:type="dxa"/>
          <w:right w:w="0" w:type="dxa"/>
        </w:tblCellMar>
      </w:tblPr>
      <w:tblGrid>
        <w:gridCol w:w="60"/>
        <w:gridCol w:w="170"/>
        <w:gridCol w:w="79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9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fiscal year 2022 acquisition of Dippin’ Dots, and our fiscal year 2024 acquisition of Thinsters.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 xml:space="preserve">RESULTS OF OPERATIONS </w:t>
      </w:r>
      <w:r>
        <w:rPr>
          <w:rFonts w:ascii="Times New Roman" w:hAnsi="Times New Roman"/>
          <w:caps w:val="false"/>
          <w:smallCaps w:val="false"/>
          <w:sz w:val="20"/>
          <w:u w:val="single"/>
        </w:rPr>
        <w:t xml:space="preserve">– </w:t>
      </w:r>
      <w:r>
        <w:rPr>
          <w:rFonts w:ascii="Times New Roman" w:hAnsi="Times New Roman"/>
          <w:b/>
          <w:caps w:val="false"/>
          <w:smallCaps w:val="false"/>
          <w:sz w:val="20"/>
          <w:u w:val="single"/>
        </w:rPr>
        <w:t>Three and nine months ended June 28,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discussion provides a review of results for the three and nine months ended June 28, 2025 as compared with the three and nine months ended June 29, 2024.</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710"/>
        <w:gridCol w:w="60"/>
        <w:gridCol w:w="125"/>
        <w:gridCol w:w="695"/>
        <w:gridCol w:w="80"/>
        <w:gridCol w:w="60"/>
        <w:gridCol w:w="125"/>
        <w:gridCol w:w="695"/>
        <w:gridCol w:w="80"/>
        <w:gridCol w:w="60"/>
        <w:gridCol w:w="99"/>
        <w:gridCol w:w="806"/>
        <w:gridCol w:w="212"/>
        <w:gridCol w:w="60"/>
        <w:gridCol w:w="125"/>
        <w:gridCol w:w="845"/>
        <w:gridCol w:w="80"/>
        <w:gridCol w:w="60"/>
        <w:gridCol w:w="125"/>
        <w:gridCol w:w="845"/>
        <w:gridCol w:w="80"/>
        <w:gridCol w:w="60"/>
        <w:gridCol w:w="89"/>
        <w:gridCol w:w="816"/>
        <w:gridCol w:w="213"/>
      </w:tblGrid>
      <w:tr>
        <w:trPr/>
        <w:tc>
          <w:tcPr>
            <w:tcW w:w="371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Summary of Results</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2825" w:type="dxa"/>
            <w:gridSpan w:val="10"/>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212"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3125" w:type="dxa"/>
            <w:gridSpan w:val="10"/>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tc>
        <w:tc>
          <w:tcPr>
            <w:tcW w:w="213" w:type="dxa"/>
            <w:tcBorders/>
            <w:tcMar>
              <w:bottom w:w="0" w:type="dxa"/>
            </w:tcMar>
            <w:vAlign w:val="center"/>
          </w:tcPr>
          <w:p>
            <w:pPr>
              <w:pStyle w:val="TableContents"/>
              <w:bidi w:val="0"/>
              <w:spacing w:before="0" w:after="283"/>
              <w:jc w:val="left"/>
              <w:rPr/>
            </w:pPr>
            <w:r>
              <w:rPr/>
              <w:t> </w:t>
            </w:r>
          </w:p>
        </w:tc>
      </w:tr>
      <w:tr>
        <w:trPr/>
        <w:tc>
          <w:tcPr>
            <w:tcW w:w="3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20"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20"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29,</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9" w:type="dxa"/>
            <w:tcBorders/>
            <w:tcMar>
              <w:bottom w:w="0" w:type="dxa"/>
            </w:tcMar>
            <w:vAlign w:val="center"/>
          </w:tcPr>
          <w:p>
            <w:pPr>
              <w:pStyle w:val="TableContents"/>
              <w:bidi w:val="0"/>
              <w:spacing w:before="0" w:after="283"/>
              <w:jc w:val="left"/>
              <w:rPr/>
            </w:pPr>
            <w:r>
              <w:rPr/>
              <w:t> </w:t>
            </w:r>
          </w:p>
        </w:tc>
        <w:tc>
          <w:tcPr>
            <w:tcW w:w="806" w:type="dxa"/>
            <w:tcBorders/>
            <w:tcMar>
              <w:bottom w:w="0" w:type="dxa"/>
            </w:tcMar>
            <w:vAlign w:val="center"/>
          </w:tcPr>
          <w:p>
            <w:pPr>
              <w:pStyle w:val="TableContents"/>
              <w:bidi w:val="0"/>
              <w:spacing w:before="0" w:after="283"/>
              <w:jc w:val="center"/>
              <w:rPr/>
            </w:pPr>
            <w:r>
              <w:rPr/>
              <w:t> </w:t>
            </w:r>
          </w:p>
        </w:tc>
        <w:tc>
          <w:tcPr>
            <w:tcW w:w="21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970"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970"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29,</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 w:type="dxa"/>
            <w:tcBorders/>
            <w:tcMar>
              <w:bottom w:w="0" w:type="dxa"/>
            </w:tcMar>
            <w:vAlign w:val="center"/>
          </w:tcPr>
          <w:p>
            <w:pPr>
              <w:pStyle w:val="TableContents"/>
              <w:bidi w:val="0"/>
              <w:spacing w:before="0" w:after="283"/>
              <w:jc w:val="left"/>
              <w:rPr/>
            </w:pPr>
            <w:r>
              <w:rPr/>
              <w:t> </w:t>
            </w:r>
          </w:p>
        </w:tc>
        <w:tc>
          <w:tcPr>
            <w:tcW w:w="816" w:type="dxa"/>
            <w:tcBorders/>
            <w:tcMar>
              <w:bottom w:w="0" w:type="dxa"/>
            </w:tcMar>
            <w:vAlign w:val="center"/>
          </w:tcPr>
          <w:p>
            <w:pPr>
              <w:pStyle w:val="TableContents"/>
              <w:bidi w:val="0"/>
              <w:spacing w:before="0" w:after="283"/>
              <w:jc w:val="center"/>
              <w:rPr/>
            </w:pPr>
            <w:r>
              <w:rPr/>
              <w:t> </w:t>
            </w:r>
          </w:p>
        </w:tc>
        <w:tc>
          <w:tcPr>
            <w:tcW w:w="213" w:type="dxa"/>
            <w:tcBorders/>
            <w:tcMar>
              <w:bottom w:w="0" w:type="dxa"/>
            </w:tcMar>
            <w:vAlign w:val="center"/>
          </w:tcPr>
          <w:p>
            <w:pPr>
              <w:pStyle w:val="TableContents"/>
              <w:bidi w:val="0"/>
              <w:spacing w:before="0" w:after="283"/>
              <w:jc w:val="left"/>
              <w:rPr/>
            </w:pPr>
            <w:r>
              <w:rPr/>
              <w:t> </w:t>
            </w:r>
          </w:p>
        </w:tc>
      </w:tr>
      <w:tr>
        <w:trPr/>
        <w:tc>
          <w:tcPr>
            <w:tcW w:w="3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1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13" w:type="dxa"/>
            <w:tcBorders/>
            <w:tcMar>
              <w:bottom w:w="0" w:type="dxa"/>
            </w:tcMar>
            <w:vAlign w:val="center"/>
          </w:tcPr>
          <w:p>
            <w:pPr>
              <w:pStyle w:val="TableContents"/>
              <w:bidi w:val="0"/>
              <w:spacing w:before="0" w:after="283"/>
              <w:jc w:val="left"/>
              <w:rPr/>
            </w:pPr>
            <w:r>
              <w:rPr/>
              <w:t> </w:t>
            </w:r>
          </w:p>
        </w:tc>
      </w:tr>
      <w:tr>
        <w:trPr/>
        <w:tc>
          <w:tcPr>
            <w:tcW w:w="3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780" w:type="dxa"/>
            <w:gridSpan w:val="6"/>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9" w:type="dxa"/>
            <w:tcBorders/>
            <w:tcMar>
              <w:bottom w:w="0" w:type="dxa"/>
            </w:tcMar>
            <w:vAlign w:val="center"/>
          </w:tcPr>
          <w:p>
            <w:pPr>
              <w:pStyle w:val="TableContents"/>
              <w:bidi w:val="0"/>
              <w:spacing w:before="0" w:after="283"/>
              <w:jc w:val="left"/>
              <w:rPr/>
            </w:pPr>
            <w:r>
              <w:rPr/>
              <w:t> </w:t>
            </w:r>
          </w:p>
        </w:tc>
        <w:tc>
          <w:tcPr>
            <w:tcW w:w="806" w:type="dxa"/>
            <w:tcBorders/>
            <w:tcMar>
              <w:bottom w:w="0" w:type="dxa"/>
            </w:tcMar>
            <w:vAlign w:val="center"/>
          </w:tcPr>
          <w:p>
            <w:pPr>
              <w:pStyle w:val="TableContents"/>
              <w:bidi w:val="0"/>
              <w:spacing w:before="0" w:after="283"/>
              <w:jc w:val="center"/>
              <w:rPr/>
            </w:pPr>
            <w:r>
              <w:rPr/>
              <w:t> </w:t>
            </w:r>
          </w:p>
        </w:tc>
        <w:tc>
          <w:tcPr>
            <w:tcW w:w="21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2080" w:type="dxa"/>
            <w:gridSpan w:val="6"/>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 w:type="dxa"/>
            <w:tcBorders/>
            <w:tcMar>
              <w:bottom w:w="0" w:type="dxa"/>
            </w:tcMar>
            <w:vAlign w:val="center"/>
          </w:tcPr>
          <w:p>
            <w:pPr>
              <w:pStyle w:val="TableContents"/>
              <w:bidi w:val="0"/>
              <w:spacing w:before="0" w:after="283"/>
              <w:jc w:val="left"/>
              <w:rPr/>
            </w:pPr>
            <w:r>
              <w:rPr/>
              <w:t> </w:t>
            </w:r>
          </w:p>
        </w:tc>
        <w:tc>
          <w:tcPr>
            <w:tcW w:w="816" w:type="dxa"/>
            <w:tcBorders/>
            <w:tcMar>
              <w:bottom w:w="0" w:type="dxa"/>
            </w:tcMar>
            <w:vAlign w:val="center"/>
          </w:tcPr>
          <w:p>
            <w:pPr>
              <w:pStyle w:val="TableContents"/>
              <w:bidi w:val="0"/>
              <w:spacing w:before="0" w:after="283"/>
              <w:jc w:val="center"/>
              <w:rPr/>
            </w:pPr>
            <w:r>
              <w:rPr/>
              <w:t> </w:t>
            </w:r>
          </w:p>
        </w:tc>
        <w:tc>
          <w:tcPr>
            <w:tcW w:w="213" w:type="dxa"/>
            <w:tcBorders/>
            <w:tcMar>
              <w:bottom w:w="0" w:type="dxa"/>
            </w:tcMar>
            <w:vAlign w:val="center"/>
          </w:tcPr>
          <w:p>
            <w:pPr>
              <w:pStyle w:val="TableContents"/>
              <w:bidi w:val="0"/>
              <w:spacing w:before="0" w:after="283"/>
              <w:jc w:val="left"/>
              <w:rPr/>
            </w:pPr>
            <w:r>
              <w:rPr/>
              <w:t> </w:t>
            </w:r>
          </w:p>
        </w:tc>
      </w:tr>
      <w:tr>
        <w:trPr/>
        <w:tc>
          <w:tcPr>
            <w:tcW w:w="3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695"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695"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9" w:type="dxa"/>
            <w:tcBorders/>
            <w:tcMar>
              <w:bottom w:w="0" w:type="dxa"/>
            </w:tcMar>
            <w:vAlign w:val="center"/>
          </w:tcPr>
          <w:p>
            <w:pPr>
              <w:pStyle w:val="TableContents"/>
              <w:bidi w:val="0"/>
              <w:spacing w:before="0" w:after="283"/>
              <w:jc w:val="left"/>
              <w:rPr/>
            </w:pPr>
            <w:r>
              <w:rPr/>
              <w:t> </w:t>
            </w:r>
          </w:p>
        </w:tc>
        <w:tc>
          <w:tcPr>
            <w:tcW w:w="806" w:type="dxa"/>
            <w:tcBorders/>
            <w:tcMar>
              <w:bottom w:w="0" w:type="dxa"/>
            </w:tcMar>
            <w:vAlign w:val="center"/>
          </w:tcPr>
          <w:p>
            <w:pPr>
              <w:pStyle w:val="TableContents"/>
              <w:bidi w:val="0"/>
              <w:spacing w:before="0" w:after="283"/>
              <w:jc w:val="left"/>
              <w:rPr/>
            </w:pPr>
            <w:r>
              <w:rPr/>
              <w:t> </w:t>
            </w:r>
          </w:p>
        </w:tc>
        <w:tc>
          <w:tcPr>
            <w:tcW w:w="21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845"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845"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 w:type="dxa"/>
            <w:tcBorders/>
            <w:tcMar>
              <w:bottom w:w="0" w:type="dxa"/>
            </w:tcMar>
            <w:vAlign w:val="center"/>
          </w:tcPr>
          <w:p>
            <w:pPr>
              <w:pStyle w:val="TableContents"/>
              <w:bidi w:val="0"/>
              <w:spacing w:before="0" w:after="283"/>
              <w:jc w:val="left"/>
              <w:rPr/>
            </w:pPr>
            <w:r>
              <w:rPr/>
              <w:t> </w:t>
            </w:r>
          </w:p>
        </w:tc>
        <w:tc>
          <w:tcPr>
            <w:tcW w:w="816" w:type="dxa"/>
            <w:tcBorders/>
            <w:tcMar>
              <w:bottom w:w="0" w:type="dxa"/>
            </w:tcMar>
            <w:vAlign w:val="center"/>
          </w:tcPr>
          <w:p>
            <w:pPr>
              <w:pStyle w:val="TableContents"/>
              <w:bidi w:val="0"/>
              <w:spacing w:before="0" w:after="283"/>
              <w:jc w:val="left"/>
              <w:rPr/>
            </w:pPr>
            <w:r>
              <w:rPr/>
              <w:t> </w:t>
            </w:r>
          </w:p>
        </w:tc>
        <w:tc>
          <w:tcPr>
            <w:tcW w:w="213" w:type="dxa"/>
            <w:tcBorders/>
            <w:tcMar>
              <w:bottom w:w="0" w:type="dxa"/>
            </w:tcMar>
            <w:vAlign w:val="center"/>
          </w:tcPr>
          <w:p>
            <w:pPr>
              <w:pStyle w:val="TableContents"/>
              <w:bidi w:val="0"/>
              <w:spacing w:before="0" w:after="283"/>
              <w:jc w:val="left"/>
              <w:rPr/>
            </w:pPr>
            <w:r>
              <w:rPr/>
              <w:t> </w:t>
            </w:r>
          </w:p>
        </w:tc>
      </w:tr>
      <w:tr>
        <w:trPr/>
        <w:tc>
          <w:tcPr>
            <w:tcW w:w="371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454,293</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439,957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ind w:left="0" w:right="0" w:hanging="0"/>
              <w:jc w:val="left"/>
              <w:rPr/>
            </w:pPr>
            <w:r>
              <w:rPr/>
              <w:t> </w:t>
            </w:r>
          </w:p>
        </w:tc>
        <w:tc>
          <w:tcPr>
            <w:tcW w:w="80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21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1,172,990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1,147,999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ind w:left="0" w:right="0" w:hanging="0"/>
              <w:jc w:val="left"/>
              <w:rPr/>
            </w:pPr>
            <w:r>
              <w:rPr/>
              <w:t> </w:t>
            </w:r>
          </w:p>
        </w:tc>
        <w:tc>
          <w:tcPr>
            <w:tcW w:w="81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21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1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jc w:val="left"/>
              <w:rPr/>
            </w:pPr>
            <w:r>
              <w:rPr/>
              <w:t> </w:t>
            </w:r>
          </w:p>
        </w:tc>
        <w:tc>
          <w:tcPr>
            <w:tcW w:w="806" w:type="dxa"/>
            <w:tcBorders/>
            <w:shd w:fill="FFFFFF" w:val="clear"/>
            <w:tcMar>
              <w:bottom w:w="0" w:type="dxa"/>
            </w:tcMar>
            <w:vAlign w:val="center"/>
          </w:tcPr>
          <w:p>
            <w:pPr>
              <w:pStyle w:val="TableContents"/>
              <w:bidi w:val="0"/>
              <w:spacing w:before="0" w:after="283"/>
              <w:jc w:val="left"/>
              <w:rPr/>
            </w:pPr>
            <w:r>
              <w:rPr/>
              <w:t> </w:t>
            </w:r>
          </w:p>
        </w:tc>
        <w:tc>
          <w:tcPr>
            <w:tcW w:w="21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816" w:type="dxa"/>
            <w:tcBorders/>
            <w:shd w:fill="FFFFFF" w:val="clear"/>
            <w:tcMar>
              <w:bottom w:w="0" w:type="dxa"/>
            </w:tcMar>
            <w:vAlign w:val="center"/>
          </w:tcPr>
          <w:p>
            <w:pPr>
              <w:pStyle w:val="TableContents"/>
              <w:bidi w:val="0"/>
              <w:spacing w:before="0" w:after="283"/>
              <w:jc w:val="left"/>
              <w:rPr/>
            </w:pPr>
            <w:r>
              <w:rPr/>
              <w:t> </w:t>
            </w:r>
          </w:p>
        </w:tc>
        <w:tc>
          <w:tcPr>
            <w:tcW w:w="213" w:type="dxa"/>
            <w:tcBorders/>
            <w:shd w:fill="FFFFFF" w:val="clear"/>
            <w:tcMar>
              <w:bottom w:w="0" w:type="dxa"/>
            </w:tcMar>
            <w:vAlign w:val="center"/>
          </w:tcPr>
          <w:p>
            <w:pPr>
              <w:pStyle w:val="TableContents"/>
              <w:bidi w:val="0"/>
              <w:spacing w:before="0" w:after="283"/>
              <w:jc w:val="left"/>
              <w:rPr/>
            </w:pPr>
            <w:r>
              <w:rPr/>
              <w:t> </w:t>
            </w:r>
          </w:p>
        </w:tc>
      </w:tr>
      <w:tr>
        <w:trPr/>
        <w:tc>
          <w:tcPr>
            <w:tcW w:w="371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304,248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292,191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ind w:left="0" w:right="0" w:hanging="0"/>
              <w:jc w:val="left"/>
              <w:rPr/>
            </w:pPr>
            <w:r>
              <w:rPr/>
              <w:t> </w:t>
            </w:r>
          </w:p>
        </w:tc>
        <w:tc>
          <w:tcPr>
            <w:tcW w:w="80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21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833,341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797,405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ind w:left="0" w:right="0" w:hanging="0"/>
              <w:jc w:val="left"/>
              <w:rPr/>
            </w:pPr>
            <w:r>
              <w:rPr/>
              <w:t> </w:t>
            </w:r>
          </w:p>
        </w:tc>
        <w:tc>
          <w:tcPr>
            <w:tcW w:w="81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21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10"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150,045</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147,766</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ind w:left="0" w:right="0" w:hanging="0"/>
              <w:jc w:val="left"/>
              <w:rPr/>
            </w:pPr>
            <w:r>
              <w:rPr/>
              <w:t> </w:t>
            </w:r>
          </w:p>
        </w:tc>
        <w:tc>
          <w:tcPr>
            <w:tcW w:w="80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21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339,649</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350,594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ind w:left="0" w:right="0" w:hanging="0"/>
              <w:jc w:val="left"/>
              <w:rPr/>
            </w:pPr>
            <w:r>
              <w:rPr/>
              <w:t> </w:t>
            </w:r>
          </w:p>
        </w:tc>
        <w:tc>
          <w:tcPr>
            <w:tcW w:w="81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21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1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806" w:type="dxa"/>
            <w:tcBorders/>
            <w:shd w:fill="CCEEFF" w:val="clear"/>
            <w:tcMar>
              <w:bottom w:w="0" w:type="dxa"/>
            </w:tcMar>
            <w:vAlign w:val="center"/>
          </w:tcPr>
          <w:p>
            <w:pPr>
              <w:pStyle w:val="TableContents"/>
              <w:bidi w:val="0"/>
              <w:spacing w:before="0" w:after="283"/>
              <w:jc w:val="left"/>
              <w:rPr/>
            </w:pPr>
            <w:r>
              <w:rPr/>
              <w:t> </w:t>
            </w:r>
          </w:p>
        </w:tc>
        <w:tc>
          <w:tcPr>
            <w:tcW w:w="21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816" w:type="dxa"/>
            <w:tcBorders/>
            <w:shd w:fill="CCEEFF" w:val="clear"/>
            <w:tcMar>
              <w:bottom w:w="0" w:type="dxa"/>
            </w:tcMar>
            <w:vAlign w:val="center"/>
          </w:tcPr>
          <w:p>
            <w:pPr>
              <w:pStyle w:val="TableContents"/>
              <w:bidi w:val="0"/>
              <w:spacing w:before="0" w:after="283"/>
              <w:jc w:val="left"/>
              <w:rPr/>
            </w:pPr>
            <w:r>
              <w:rPr/>
              <w:t> </w:t>
            </w:r>
          </w:p>
        </w:tc>
        <w:tc>
          <w:tcPr>
            <w:tcW w:w="213" w:type="dxa"/>
            <w:tcBorders/>
            <w:shd w:fill="CCEEFF" w:val="clear"/>
            <w:tcMar>
              <w:bottom w:w="0" w:type="dxa"/>
            </w:tcMar>
            <w:vAlign w:val="center"/>
          </w:tcPr>
          <w:p>
            <w:pPr>
              <w:pStyle w:val="TableContents"/>
              <w:bidi w:val="0"/>
              <w:spacing w:before="0" w:after="283"/>
              <w:jc w:val="left"/>
              <w:rPr/>
            </w:pPr>
            <w:r>
              <w:rPr/>
              <w:t> </w:t>
            </w:r>
          </w:p>
        </w:tc>
      </w:tr>
      <w:tr>
        <w:trPr/>
        <w:tc>
          <w:tcPr>
            <w:tcW w:w="371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jc w:val="left"/>
              <w:rPr/>
            </w:pPr>
            <w:r>
              <w:rPr/>
              <w:t> </w:t>
            </w:r>
          </w:p>
        </w:tc>
        <w:tc>
          <w:tcPr>
            <w:tcW w:w="806" w:type="dxa"/>
            <w:tcBorders/>
            <w:shd w:fill="FFFFFF" w:val="clear"/>
            <w:tcMar>
              <w:bottom w:w="0" w:type="dxa"/>
            </w:tcMar>
            <w:vAlign w:val="center"/>
          </w:tcPr>
          <w:p>
            <w:pPr>
              <w:pStyle w:val="TableContents"/>
              <w:bidi w:val="0"/>
              <w:spacing w:before="0" w:after="283"/>
              <w:jc w:val="left"/>
              <w:rPr/>
            </w:pPr>
            <w:r>
              <w:rPr/>
              <w:t> </w:t>
            </w:r>
          </w:p>
        </w:tc>
        <w:tc>
          <w:tcPr>
            <w:tcW w:w="21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816" w:type="dxa"/>
            <w:tcBorders/>
            <w:shd w:fill="FFFFFF" w:val="clear"/>
            <w:tcMar>
              <w:bottom w:w="0" w:type="dxa"/>
            </w:tcMar>
            <w:vAlign w:val="center"/>
          </w:tcPr>
          <w:p>
            <w:pPr>
              <w:pStyle w:val="TableContents"/>
              <w:bidi w:val="0"/>
              <w:spacing w:before="0" w:after="283"/>
              <w:jc w:val="left"/>
              <w:rPr/>
            </w:pPr>
            <w:r>
              <w:rPr/>
              <w:t> </w:t>
            </w:r>
          </w:p>
        </w:tc>
        <w:tc>
          <w:tcPr>
            <w:tcW w:w="213" w:type="dxa"/>
            <w:tcBorders/>
            <w:shd w:fill="FFFFFF" w:val="clear"/>
            <w:tcMar>
              <w:bottom w:w="0" w:type="dxa"/>
            </w:tcMar>
            <w:vAlign w:val="center"/>
          </w:tcPr>
          <w:p>
            <w:pPr>
              <w:pStyle w:val="TableContents"/>
              <w:bidi w:val="0"/>
              <w:spacing w:before="0" w:after="283"/>
              <w:jc w:val="left"/>
              <w:rPr/>
            </w:pPr>
            <w:r>
              <w:rPr/>
              <w:t> </w:t>
            </w:r>
          </w:p>
        </w:tc>
      </w:tr>
      <w:tr>
        <w:trPr/>
        <w:tc>
          <w:tcPr>
            <w:tcW w:w="3710"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Marketing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33,847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32,598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ind w:left="0" w:right="0" w:hanging="0"/>
              <w:jc w:val="left"/>
              <w:rPr/>
            </w:pPr>
            <w:r>
              <w:rPr/>
              <w:t> </w:t>
            </w:r>
          </w:p>
        </w:tc>
        <w:tc>
          <w:tcPr>
            <w:tcW w:w="80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21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91,023</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87,720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ind w:left="0" w:right="0" w:hanging="0"/>
              <w:jc w:val="left"/>
              <w:rPr/>
            </w:pPr>
            <w:r>
              <w:rPr/>
              <w:t> </w:t>
            </w:r>
          </w:p>
        </w:tc>
        <w:tc>
          <w:tcPr>
            <w:tcW w:w="81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21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10"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44,685</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45,074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ind w:left="0" w:right="0" w:hanging="0"/>
              <w:jc w:val="left"/>
              <w:rPr/>
            </w:pPr>
            <w:r>
              <w:rPr/>
              <w:t> </w:t>
            </w:r>
          </w:p>
        </w:tc>
        <w:tc>
          <w:tcPr>
            <w:tcW w:w="80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w:t>
            </w:r>
          </w:p>
        </w:tc>
        <w:tc>
          <w:tcPr>
            <w:tcW w:w="21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8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126,128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8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129,626</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ind w:left="0" w:right="0" w:hanging="0"/>
              <w:jc w:val="left"/>
              <w:rPr/>
            </w:pPr>
            <w:r>
              <w:rPr/>
              <w:t> </w:t>
            </w:r>
          </w:p>
        </w:tc>
        <w:tc>
          <w:tcPr>
            <w:tcW w:w="81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21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10"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Administrative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20,028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19,880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ind w:left="0" w:right="0" w:hanging="0"/>
              <w:jc w:val="left"/>
              <w:rPr/>
            </w:pPr>
            <w:r>
              <w:rPr/>
              <w:t> </w:t>
            </w:r>
          </w:p>
        </w:tc>
        <w:tc>
          <w:tcPr>
            <w:tcW w:w="80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w:t>
            </w:r>
          </w:p>
        </w:tc>
        <w:tc>
          <w:tcPr>
            <w:tcW w:w="21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58,685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56,600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ind w:left="0" w:right="0" w:hanging="0"/>
              <w:jc w:val="left"/>
              <w:rPr/>
            </w:pPr>
            <w:r>
              <w:rPr/>
              <w:t> </w:t>
            </w:r>
          </w:p>
        </w:tc>
        <w:tc>
          <w:tcPr>
            <w:tcW w:w="81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21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10"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 impairment charges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ind w:left="0" w:right="0" w:hanging="0"/>
              <w:jc w:val="left"/>
              <w:rPr/>
            </w:pPr>
            <w:r>
              <w:rPr/>
              <w:t> </w:t>
            </w:r>
          </w:p>
        </w:tc>
        <w:tc>
          <w:tcPr>
            <w:tcW w:w="80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1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8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8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ind w:left="0" w:right="0" w:hanging="0"/>
              <w:jc w:val="left"/>
              <w:rPr/>
            </w:pPr>
            <w:r>
              <w:rPr/>
              <w:t> </w:t>
            </w:r>
          </w:p>
        </w:tc>
        <w:tc>
          <w:tcPr>
            <w:tcW w:w="81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1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10"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insurance proceeds received for damage to property, plant, and equipment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(10,622</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ind w:left="0" w:right="0" w:hanging="0"/>
              <w:jc w:val="left"/>
              <w:rPr/>
            </w:pPr>
            <w:r>
              <w:rPr/>
              <w:t> </w:t>
            </w:r>
          </w:p>
        </w:tc>
        <w:tc>
          <w:tcPr>
            <w:tcW w:w="80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1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(10,622</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ind w:left="0" w:right="0" w:hanging="0"/>
              <w:jc w:val="left"/>
              <w:rPr/>
            </w:pPr>
            <w:r>
              <w:rPr/>
              <w:t> </w:t>
            </w:r>
          </w:p>
        </w:tc>
        <w:tc>
          <w:tcPr>
            <w:tcW w:w="81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1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10"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general expense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ind w:left="0" w:right="0" w:hanging="0"/>
              <w:jc w:val="left"/>
              <w:rPr/>
            </w:pPr>
            <w:r>
              <w:rPr/>
              <w:t> </w:t>
            </w:r>
          </w:p>
        </w:tc>
        <w:tc>
          <w:tcPr>
            <w:tcW w:w="80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(89.8</w:t>
            </w:r>
          </w:p>
        </w:tc>
        <w:tc>
          <w:tcPr>
            <w:tcW w:w="21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(1,055</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ind w:left="0" w:right="0" w:hanging="0"/>
              <w:jc w:val="left"/>
              <w:rPr/>
            </w:pPr>
            <w:r>
              <w:rPr/>
              <w:t> </w:t>
            </w:r>
          </w:p>
        </w:tc>
        <w:tc>
          <w:tcPr>
            <w:tcW w:w="81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(107.2</w:t>
            </w:r>
          </w:p>
        </w:tc>
        <w:tc>
          <w:tcPr>
            <w:tcW w:w="21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10" w:type="dxa"/>
            <w:tcBorders/>
            <w:shd w:fill="CCEEFF" w:val="clear"/>
            <w:tcMar>
              <w:bottom w:w="0" w:type="dxa"/>
            </w:tcM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89,448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97,650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ind w:left="0" w:right="0" w:hanging="0"/>
              <w:jc w:val="left"/>
              <w:rPr/>
            </w:pPr>
            <w:r>
              <w:rPr/>
              <w:t> </w:t>
            </w:r>
          </w:p>
        </w:tc>
        <w:tc>
          <w:tcPr>
            <w:tcW w:w="80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w:t>
            </w:r>
          </w:p>
        </w:tc>
        <w:tc>
          <w:tcPr>
            <w:tcW w:w="21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266,790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272,891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ind w:left="0" w:right="0" w:hanging="0"/>
              <w:jc w:val="left"/>
              <w:rPr/>
            </w:pPr>
            <w:r>
              <w:rPr/>
              <w:t> </w:t>
            </w:r>
          </w:p>
        </w:tc>
        <w:tc>
          <w:tcPr>
            <w:tcW w:w="81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21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1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jc w:val="left"/>
              <w:rPr/>
            </w:pPr>
            <w:r>
              <w:rPr/>
              <w:t> </w:t>
            </w:r>
          </w:p>
        </w:tc>
        <w:tc>
          <w:tcPr>
            <w:tcW w:w="806" w:type="dxa"/>
            <w:tcBorders/>
            <w:shd w:fill="FFFFFF" w:val="clear"/>
            <w:tcMar>
              <w:bottom w:w="0" w:type="dxa"/>
            </w:tcMar>
            <w:vAlign w:val="center"/>
          </w:tcPr>
          <w:p>
            <w:pPr>
              <w:pStyle w:val="TableContents"/>
              <w:bidi w:val="0"/>
              <w:spacing w:before="0" w:after="283"/>
              <w:jc w:val="left"/>
              <w:rPr/>
            </w:pPr>
            <w:r>
              <w:rPr/>
              <w:t> </w:t>
            </w:r>
          </w:p>
        </w:tc>
        <w:tc>
          <w:tcPr>
            <w:tcW w:w="21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816" w:type="dxa"/>
            <w:tcBorders/>
            <w:shd w:fill="FFFFFF" w:val="clear"/>
            <w:tcMar>
              <w:bottom w:w="0" w:type="dxa"/>
            </w:tcMar>
            <w:vAlign w:val="center"/>
          </w:tcPr>
          <w:p>
            <w:pPr>
              <w:pStyle w:val="TableContents"/>
              <w:bidi w:val="0"/>
              <w:spacing w:before="0" w:after="283"/>
              <w:jc w:val="left"/>
              <w:rPr/>
            </w:pPr>
            <w:r>
              <w:rPr/>
              <w:t> </w:t>
            </w:r>
          </w:p>
        </w:tc>
        <w:tc>
          <w:tcPr>
            <w:tcW w:w="213" w:type="dxa"/>
            <w:tcBorders/>
            <w:shd w:fill="FFFFFF" w:val="clear"/>
            <w:tcMar>
              <w:bottom w:w="0" w:type="dxa"/>
            </w:tcMar>
            <w:vAlign w:val="center"/>
          </w:tcPr>
          <w:p>
            <w:pPr>
              <w:pStyle w:val="TableContents"/>
              <w:bidi w:val="0"/>
              <w:spacing w:before="0" w:after="283"/>
              <w:jc w:val="left"/>
              <w:rPr/>
            </w:pPr>
            <w:r>
              <w:rPr/>
              <w:t> </w:t>
            </w:r>
          </w:p>
        </w:tc>
      </w:tr>
      <w:tr>
        <w:trPr/>
        <w:tc>
          <w:tcPr>
            <w:tcW w:w="371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60,597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50,116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ind w:left="0" w:right="0" w:hanging="0"/>
              <w:jc w:val="left"/>
              <w:rPr/>
            </w:pPr>
            <w:r>
              <w:rPr/>
              <w:t> </w:t>
            </w:r>
          </w:p>
        </w:tc>
        <w:tc>
          <w:tcPr>
            <w:tcW w:w="80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w:t>
            </w:r>
          </w:p>
        </w:tc>
        <w:tc>
          <w:tcPr>
            <w:tcW w:w="21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72,859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77,703</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ind w:left="0" w:right="0" w:hanging="0"/>
              <w:jc w:val="left"/>
              <w:rPr/>
            </w:pPr>
            <w:r>
              <w:rPr/>
              <w:t> </w:t>
            </w:r>
          </w:p>
        </w:tc>
        <w:tc>
          <w:tcPr>
            <w:tcW w:w="81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w:t>
            </w:r>
          </w:p>
        </w:tc>
        <w:tc>
          <w:tcPr>
            <w:tcW w:w="21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1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jc w:val="left"/>
              <w:rPr/>
            </w:pPr>
            <w:r>
              <w:rPr/>
              <w:t> </w:t>
            </w:r>
          </w:p>
        </w:tc>
        <w:tc>
          <w:tcPr>
            <w:tcW w:w="806" w:type="dxa"/>
            <w:tcBorders/>
            <w:shd w:fill="FFFFFF" w:val="clear"/>
            <w:tcMar>
              <w:bottom w:w="0" w:type="dxa"/>
            </w:tcMar>
            <w:vAlign w:val="center"/>
          </w:tcPr>
          <w:p>
            <w:pPr>
              <w:pStyle w:val="TableContents"/>
              <w:bidi w:val="0"/>
              <w:spacing w:before="0" w:after="283"/>
              <w:jc w:val="left"/>
              <w:rPr/>
            </w:pPr>
            <w:r>
              <w:rPr/>
              <w:t> </w:t>
            </w:r>
          </w:p>
        </w:tc>
        <w:tc>
          <w:tcPr>
            <w:tcW w:w="21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816" w:type="dxa"/>
            <w:tcBorders/>
            <w:shd w:fill="FFFFFF" w:val="clear"/>
            <w:tcMar>
              <w:bottom w:w="0" w:type="dxa"/>
            </w:tcMar>
            <w:vAlign w:val="center"/>
          </w:tcPr>
          <w:p>
            <w:pPr>
              <w:pStyle w:val="TableContents"/>
              <w:bidi w:val="0"/>
              <w:spacing w:before="0" w:after="283"/>
              <w:jc w:val="left"/>
              <w:rPr/>
            </w:pPr>
            <w:r>
              <w:rPr/>
              <w:t> </w:t>
            </w:r>
          </w:p>
        </w:tc>
        <w:tc>
          <w:tcPr>
            <w:tcW w:w="213" w:type="dxa"/>
            <w:tcBorders/>
            <w:shd w:fill="FFFFFF" w:val="clear"/>
            <w:tcMar>
              <w:bottom w:w="0" w:type="dxa"/>
            </w:tcMar>
            <w:vAlign w:val="center"/>
          </w:tcPr>
          <w:p>
            <w:pPr>
              <w:pStyle w:val="TableContents"/>
              <w:bidi w:val="0"/>
              <w:spacing w:before="0" w:after="283"/>
              <w:jc w:val="left"/>
              <w:rPr/>
            </w:pPr>
            <w:r>
              <w:rPr/>
              <w:t> </w:t>
            </w:r>
          </w:p>
        </w:tc>
      </w:tr>
      <w:tr>
        <w:trPr/>
        <w:tc>
          <w:tcPr>
            <w:tcW w:w="371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806" w:type="dxa"/>
            <w:tcBorders/>
            <w:shd w:fill="CCEEFF" w:val="clear"/>
            <w:tcMar>
              <w:bottom w:w="0" w:type="dxa"/>
            </w:tcMar>
            <w:vAlign w:val="center"/>
          </w:tcPr>
          <w:p>
            <w:pPr>
              <w:pStyle w:val="TableContents"/>
              <w:bidi w:val="0"/>
              <w:spacing w:before="0" w:after="283"/>
              <w:jc w:val="left"/>
              <w:rPr/>
            </w:pPr>
            <w:r>
              <w:rPr/>
              <w:t> </w:t>
            </w:r>
          </w:p>
        </w:tc>
        <w:tc>
          <w:tcPr>
            <w:tcW w:w="21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816" w:type="dxa"/>
            <w:tcBorders/>
            <w:shd w:fill="CCEEFF" w:val="clear"/>
            <w:tcMar>
              <w:bottom w:w="0" w:type="dxa"/>
            </w:tcMar>
            <w:vAlign w:val="center"/>
          </w:tcPr>
          <w:p>
            <w:pPr>
              <w:pStyle w:val="TableContents"/>
              <w:bidi w:val="0"/>
              <w:spacing w:before="0" w:after="283"/>
              <w:jc w:val="left"/>
              <w:rPr/>
            </w:pPr>
            <w:r>
              <w:rPr/>
              <w:t> </w:t>
            </w:r>
          </w:p>
        </w:tc>
        <w:tc>
          <w:tcPr>
            <w:tcW w:w="213" w:type="dxa"/>
            <w:tcBorders/>
            <w:shd w:fill="CCEEFF" w:val="clear"/>
            <w:tcMar>
              <w:bottom w:w="0" w:type="dxa"/>
            </w:tcMar>
            <w:vAlign w:val="center"/>
          </w:tcPr>
          <w:p>
            <w:pPr>
              <w:pStyle w:val="TableContents"/>
              <w:bidi w:val="0"/>
              <w:spacing w:before="0" w:after="283"/>
              <w:jc w:val="left"/>
              <w:rPr/>
            </w:pPr>
            <w:r>
              <w:rPr/>
              <w:t> </w:t>
            </w:r>
          </w:p>
        </w:tc>
      </w:tr>
      <w:tr>
        <w:trPr/>
        <w:tc>
          <w:tcPr>
            <w:tcW w:w="3710"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ind w:left="0" w:right="0" w:hanging="0"/>
              <w:jc w:val="left"/>
              <w:rPr/>
            </w:pPr>
            <w:r>
              <w:rPr/>
              <w:t> </w:t>
            </w:r>
          </w:p>
        </w:tc>
        <w:tc>
          <w:tcPr>
            <w:tcW w:w="80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w:t>
            </w:r>
          </w:p>
        </w:tc>
        <w:tc>
          <w:tcPr>
            <w:tcW w:w="21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8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8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2,265</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ind w:left="0" w:right="0" w:hanging="0"/>
              <w:jc w:val="left"/>
              <w:rPr/>
            </w:pPr>
            <w:r>
              <w:rPr/>
              <w:t> </w:t>
            </w:r>
          </w:p>
        </w:tc>
        <w:tc>
          <w:tcPr>
            <w:tcW w:w="81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21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10"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(543</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ind w:left="0" w:right="0" w:hanging="0"/>
              <w:jc w:val="left"/>
              <w:rPr/>
            </w:pPr>
            <w:r>
              <w:rPr/>
              <w:t> </w:t>
            </w:r>
          </w:p>
        </w:tc>
        <w:tc>
          <w:tcPr>
            <w:tcW w:w="80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w:t>
            </w:r>
          </w:p>
        </w:tc>
        <w:tc>
          <w:tcPr>
            <w:tcW w:w="21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(738</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(1,532</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ind w:left="0" w:right="0" w:hanging="0"/>
              <w:jc w:val="left"/>
              <w:rPr/>
            </w:pPr>
            <w:r>
              <w:rPr/>
              <w:t> </w:t>
            </w:r>
          </w:p>
        </w:tc>
        <w:tc>
          <w:tcPr>
            <w:tcW w:w="81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(51.8</w:t>
            </w:r>
          </w:p>
        </w:tc>
        <w:tc>
          <w:tcPr>
            <w:tcW w:w="21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1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jc w:val="left"/>
              <w:rPr/>
            </w:pPr>
            <w:r>
              <w:rPr/>
              <w:t> </w:t>
            </w:r>
          </w:p>
        </w:tc>
        <w:tc>
          <w:tcPr>
            <w:tcW w:w="806" w:type="dxa"/>
            <w:tcBorders/>
            <w:shd w:fill="FFFFFF" w:val="clear"/>
            <w:tcMar>
              <w:bottom w:w="0" w:type="dxa"/>
            </w:tcMar>
            <w:vAlign w:val="center"/>
          </w:tcPr>
          <w:p>
            <w:pPr>
              <w:pStyle w:val="TableContents"/>
              <w:bidi w:val="0"/>
              <w:spacing w:before="0" w:after="283"/>
              <w:jc w:val="left"/>
              <w:rPr/>
            </w:pPr>
            <w:r>
              <w:rPr/>
              <w:t> </w:t>
            </w:r>
          </w:p>
        </w:tc>
        <w:tc>
          <w:tcPr>
            <w:tcW w:w="21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816" w:type="dxa"/>
            <w:tcBorders/>
            <w:shd w:fill="FFFFFF" w:val="clear"/>
            <w:tcMar>
              <w:bottom w:w="0" w:type="dxa"/>
            </w:tcMar>
            <w:vAlign w:val="center"/>
          </w:tcPr>
          <w:p>
            <w:pPr>
              <w:pStyle w:val="TableContents"/>
              <w:bidi w:val="0"/>
              <w:spacing w:before="0" w:after="283"/>
              <w:jc w:val="left"/>
              <w:rPr/>
            </w:pPr>
            <w:r>
              <w:rPr/>
              <w:t> </w:t>
            </w:r>
          </w:p>
        </w:tc>
        <w:tc>
          <w:tcPr>
            <w:tcW w:w="213" w:type="dxa"/>
            <w:tcBorders/>
            <w:shd w:fill="FFFFFF" w:val="clear"/>
            <w:tcMar>
              <w:bottom w:w="0" w:type="dxa"/>
            </w:tcMar>
            <w:vAlign w:val="center"/>
          </w:tcPr>
          <w:p>
            <w:pPr>
              <w:pStyle w:val="TableContents"/>
              <w:bidi w:val="0"/>
              <w:spacing w:before="0" w:after="283"/>
              <w:jc w:val="left"/>
              <w:rPr/>
            </w:pPr>
            <w:r>
              <w:rPr/>
              <w:t> </w:t>
            </w:r>
          </w:p>
        </w:tc>
      </w:tr>
      <w:tr>
        <w:trPr/>
        <w:tc>
          <w:tcPr>
            <w:tcW w:w="371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before income taxes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60,778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50,356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ind w:left="0" w:right="0" w:hanging="0"/>
              <w:jc w:val="left"/>
              <w:rPr/>
            </w:pPr>
            <w:r>
              <w:rPr/>
              <w:t> </w:t>
            </w:r>
          </w:p>
        </w:tc>
        <w:tc>
          <w:tcPr>
            <w:tcW w:w="80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w:t>
            </w:r>
          </w:p>
        </w:tc>
        <w:tc>
          <w:tcPr>
            <w:tcW w:w="21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74,469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78,436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ind w:left="0" w:right="0" w:hanging="0"/>
              <w:jc w:val="left"/>
              <w:rPr/>
            </w:pPr>
            <w:r>
              <w:rPr/>
              <w:t> </w:t>
            </w:r>
          </w:p>
        </w:tc>
        <w:tc>
          <w:tcPr>
            <w:tcW w:w="81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21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1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jc w:val="left"/>
              <w:rPr/>
            </w:pPr>
            <w:r>
              <w:rPr/>
              <w:t> </w:t>
            </w:r>
          </w:p>
        </w:tc>
        <w:tc>
          <w:tcPr>
            <w:tcW w:w="806" w:type="dxa"/>
            <w:tcBorders/>
            <w:shd w:fill="FFFFFF" w:val="clear"/>
            <w:tcMar>
              <w:bottom w:w="0" w:type="dxa"/>
            </w:tcMar>
            <w:vAlign w:val="center"/>
          </w:tcPr>
          <w:p>
            <w:pPr>
              <w:pStyle w:val="TableContents"/>
              <w:bidi w:val="0"/>
              <w:spacing w:before="0" w:after="283"/>
              <w:jc w:val="left"/>
              <w:rPr/>
            </w:pPr>
            <w:r>
              <w:rPr/>
              <w:t> </w:t>
            </w:r>
          </w:p>
        </w:tc>
        <w:tc>
          <w:tcPr>
            <w:tcW w:w="21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816" w:type="dxa"/>
            <w:tcBorders/>
            <w:shd w:fill="FFFFFF" w:val="clear"/>
            <w:tcMar>
              <w:bottom w:w="0" w:type="dxa"/>
            </w:tcMar>
            <w:vAlign w:val="center"/>
          </w:tcPr>
          <w:p>
            <w:pPr>
              <w:pStyle w:val="TableContents"/>
              <w:bidi w:val="0"/>
              <w:spacing w:before="0" w:after="283"/>
              <w:jc w:val="left"/>
              <w:rPr/>
            </w:pPr>
            <w:r>
              <w:rPr/>
              <w:t> </w:t>
            </w:r>
          </w:p>
        </w:tc>
        <w:tc>
          <w:tcPr>
            <w:tcW w:w="213" w:type="dxa"/>
            <w:tcBorders/>
            <w:shd w:fill="FFFFFF" w:val="clear"/>
            <w:tcMar>
              <w:bottom w:w="0" w:type="dxa"/>
            </w:tcMar>
            <w:vAlign w:val="center"/>
          </w:tcPr>
          <w:p>
            <w:pPr>
              <w:pStyle w:val="TableContents"/>
              <w:bidi w:val="0"/>
              <w:spacing w:before="0" w:after="283"/>
              <w:jc w:val="left"/>
              <w:rPr/>
            </w:pPr>
            <w:r>
              <w:rPr/>
              <w:t> </w:t>
            </w:r>
          </w:p>
        </w:tc>
      </w:tr>
      <w:tr>
        <w:trPr/>
        <w:tc>
          <w:tcPr>
            <w:tcW w:w="371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16,531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14,057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ind w:left="0" w:right="0" w:hanging="0"/>
              <w:jc w:val="left"/>
              <w:rPr/>
            </w:pPr>
            <w:r>
              <w:rPr/>
              <w:t> </w:t>
            </w:r>
          </w:p>
        </w:tc>
        <w:tc>
          <w:tcPr>
            <w:tcW w:w="80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w:t>
            </w:r>
          </w:p>
        </w:tc>
        <w:tc>
          <w:tcPr>
            <w:tcW w:w="21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20,255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21,526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ind w:left="0" w:right="0" w:hanging="0"/>
              <w:jc w:val="left"/>
              <w:rPr/>
            </w:pPr>
            <w:r>
              <w:rPr/>
              <w:t> </w:t>
            </w:r>
          </w:p>
        </w:tc>
        <w:tc>
          <w:tcPr>
            <w:tcW w:w="81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w:t>
            </w:r>
          </w:p>
        </w:tc>
        <w:tc>
          <w:tcPr>
            <w:tcW w:w="21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1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jc w:val="left"/>
              <w:rPr/>
            </w:pPr>
            <w:r>
              <w:rPr/>
              <w:t> </w:t>
            </w:r>
          </w:p>
        </w:tc>
        <w:tc>
          <w:tcPr>
            <w:tcW w:w="806" w:type="dxa"/>
            <w:tcBorders/>
            <w:shd w:fill="FFFFFF" w:val="clear"/>
            <w:tcMar>
              <w:bottom w:w="0" w:type="dxa"/>
            </w:tcMar>
            <w:vAlign w:val="center"/>
          </w:tcPr>
          <w:p>
            <w:pPr>
              <w:pStyle w:val="TableContents"/>
              <w:bidi w:val="0"/>
              <w:spacing w:before="0" w:after="283"/>
              <w:jc w:val="left"/>
              <w:rPr/>
            </w:pPr>
            <w:r>
              <w:rPr/>
              <w:t> </w:t>
            </w:r>
          </w:p>
        </w:tc>
        <w:tc>
          <w:tcPr>
            <w:tcW w:w="21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816" w:type="dxa"/>
            <w:tcBorders/>
            <w:shd w:fill="FFFFFF" w:val="clear"/>
            <w:tcMar>
              <w:bottom w:w="0" w:type="dxa"/>
            </w:tcMar>
            <w:vAlign w:val="center"/>
          </w:tcPr>
          <w:p>
            <w:pPr>
              <w:pStyle w:val="TableContents"/>
              <w:bidi w:val="0"/>
              <w:spacing w:before="0" w:after="283"/>
              <w:jc w:val="left"/>
              <w:rPr/>
            </w:pPr>
            <w:r>
              <w:rPr/>
              <w:t> </w:t>
            </w:r>
          </w:p>
        </w:tc>
        <w:tc>
          <w:tcPr>
            <w:tcW w:w="213" w:type="dxa"/>
            <w:tcBorders/>
            <w:shd w:fill="FFFFFF" w:val="clear"/>
            <w:tcMar>
              <w:bottom w:w="0" w:type="dxa"/>
            </w:tcMar>
            <w:vAlign w:val="center"/>
          </w:tcPr>
          <w:p>
            <w:pPr>
              <w:pStyle w:val="TableContents"/>
              <w:bidi w:val="0"/>
              <w:spacing w:before="0" w:after="283"/>
              <w:jc w:val="left"/>
              <w:rPr/>
            </w:pPr>
            <w:r>
              <w:rPr/>
              <w:t> </w:t>
            </w:r>
          </w:p>
        </w:tc>
      </w:tr>
      <w:tr>
        <w:trPr/>
        <w:tc>
          <w:tcPr>
            <w:tcW w:w="3710"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44,247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36,299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ind w:left="0" w:right="0" w:hanging="0"/>
              <w:jc w:val="left"/>
              <w:rPr/>
            </w:pPr>
            <w:r>
              <w:rPr/>
              <w:t> </w:t>
            </w:r>
          </w:p>
        </w:tc>
        <w:tc>
          <w:tcPr>
            <w:tcW w:w="80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w:t>
            </w:r>
          </w:p>
        </w:tc>
        <w:tc>
          <w:tcPr>
            <w:tcW w:w="21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54,214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56,910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ind w:left="0" w:right="0" w:hanging="0"/>
              <w:jc w:val="left"/>
              <w:rPr/>
            </w:pPr>
            <w:r>
              <w:rPr/>
              <w:t> </w:t>
            </w:r>
          </w:p>
        </w:tc>
        <w:tc>
          <w:tcPr>
            <w:tcW w:w="81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21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854" w:type="dxa"/>
        <w:jc w:val="left"/>
        <w:tblInd w:w="0" w:type="dxa"/>
        <w:tblLayout w:type="fixed"/>
        <w:tblCellMar>
          <w:top w:w="0" w:type="dxa"/>
          <w:left w:w="0" w:type="dxa"/>
          <w:bottom w:w="28" w:type="dxa"/>
          <w:right w:w="0" w:type="dxa"/>
        </w:tblCellMar>
      </w:tblPr>
      <w:tblGrid>
        <w:gridCol w:w="3530"/>
        <w:gridCol w:w="60"/>
        <w:gridCol w:w="98"/>
        <w:gridCol w:w="626"/>
        <w:gridCol w:w="185"/>
        <w:gridCol w:w="60"/>
        <w:gridCol w:w="98"/>
        <w:gridCol w:w="626"/>
        <w:gridCol w:w="185"/>
        <w:gridCol w:w="60"/>
        <w:gridCol w:w="163"/>
        <w:gridCol w:w="921"/>
        <w:gridCol w:w="80"/>
        <w:gridCol w:w="60"/>
        <w:gridCol w:w="98"/>
        <w:gridCol w:w="626"/>
        <w:gridCol w:w="185"/>
        <w:gridCol w:w="60"/>
        <w:gridCol w:w="98"/>
        <w:gridCol w:w="626"/>
        <w:gridCol w:w="185"/>
        <w:gridCol w:w="60"/>
        <w:gridCol w:w="140"/>
        <w:gridCol w:w="944"/>
        <w:gridCol w:w="80"/>
      </w:tblGrid>
      <w:tr>
        <w:trPr/>
        <w:tc>
          <w:tcPr>
            <w:tcW w:w="353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Comparisons as a Percentage of Net Sales</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3022" w:type="dxa"/>
            <w:gridSpan w:val="10"/>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3022" w:type="dxa"/>
            <w:gridSpan w:val="10"/>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tc>
        <w:tc>
          <w:tcPr>
            <w:tcW w:w="80" w:type="dxa"/>
            <w:tcBorders/>
            <w:tcMar>
              <w:bottom w:w="0" w:type="dxa"/>
            </w:tcMar>
            <w:vAlign w:val="center"/>
          </w:tcPr>
          <w:p>
            <w:pPr>
              <w:pStyle w:val="TableContents"/>
              <w:bidi w:val="0"/>
              <w:spacing w:before="0" w:after="283"/>
              <w:jc w:val="left"/>
              <w:rPr/>
            </w:pPr>
            <w:r>
              <w:rPr/>
              <w:t> </w:t>
            </w:r>
          </w:p>
        </w:tc>
      </w:tr>
      <w:tr>
        <w:trPr/>
        <w:tc>
          <w:tcPr>
            <w:tcW w:w="35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724"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w:t>
            </w:r>
          </w:p>
        </w:tc>
        <w:tc>
          <w:tcPr>
            <w:tcW w:w="1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724"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29,</w:t>
            </w:r>
          </w:p>
        </w:tc>
        <w:tc>
          <w:tcPr>
            <w:tcW w:w="1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3" w:type="dxa"/>
            <w:tcBorders/>
            <w:tcMar>
              <w:bottom w:w="0" w:type="dxa"/>
            </w:tcMar>
            <w:vAlign w:val="center"/>
          </w:tcPr>
          <w:p>
            <w:pPr>
              <w:pStyle w:val="TableContents"/>
              <w:bidi w:val="0"/>
              <w:spacing w:before="0" w:after="283"/>
              <w:jc w:val="left"/>
              <w:rPr/>
            </w:pPr>
            <w:r>
              <w:rPr/>
              <w:t> </w:t>
            </w:r>
          </w:p>
        </w:tc>
        <w:tc>
          <w:tcPr>
            <w:tcW w:w="921" w:type="dxa"/>
            <w:tcBorders/>
            <w:tcMar>
              <w:bottom w:w="0" w:type="dxa"/>
            </w:tcMar>
            <w:vAlign w:val="center"/>
          </w:tcPr>
          <w:p>
            <w:pPr>
              <w:pStyle w:val="TableContents"/>
              <w:bidi w:val="0"/>
              <w:spacing w:before="0" w:after="283"/>
              <w:jc w:val="center"/>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724"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w:t>
            </w:r>
          </w:p>
        </w:tc>
        <w:tc>
          <w:tcPr>
            <w:tcW w:w="1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724"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29,</w:t>
            </w:r>
          </w:p>
        </w:tc>
        <w:tc>
          <w:tcPr>
            <w:tcW w:w="1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944" w:type="dxa"/>
            <w:tcBorders/>
            <w:tcMar>
              <w:bottom w:w="0" w:type="dxa"/>
            </w:tcMar>
            <w:vAlign w:val="center"/>
          </w:tcPr>
          <w:p>
            <w:pPr>
              <w:pStyle w:val="TableContents"/>
              <w:bidi w:val="0"/>
              <w:spacing w:before="0" w:after="283"/>
              <w:jc w:val="center"/>
              <w:rPr/>
            </w:pPr>
            <w:r>
              <w:rPr/>
              <w:t> </w:t>
            </w:r>
          </w:p>
        </w:tc>
        <w:tc>
          <w:tcPr>
            <w:tcW w:w="80" w:type="dxa"/>
            <w:tcBorders/>
            <w:tcMar>
              <w:bottom w:w="0" w:type="dxa"/>
            </w:tcMar>
            <w:vAlign w:val="center"/>
          </w:tcPr>
          <w:p>
            <w:pPr>
              <w:pStyle w:val="TableContents"/>
              <w:bidi w:val="0"/>
              <w:spacing w:before="0" w:after="283"/>
              <w:jc w:val="left"/>
              <w:rPr/>
            </w:pPr>
            <w:r>
              <w:rPr/>
              <w:t> </w:t>
            </w:r>
          </w:p>
        </w:tc>
      </w:tr>
      <w:tr>
        <w:trPr/>
        <w:tc>
          <w:tcPr>
            <w:tcW w:w="35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08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Basis Pt Chg</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08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Basis Pt Chg</w:t>
            </w:r>
          </w:p>
        </w:tc>
        <w:tc>
          <w:tcPr>
            <w:tcW w:w="80" w:type="dxa"/>
            <w:tcBorders/>
            <w:tcMar>
              <w:bottom w:w="0" w:type="dxa"/>
            </w:tcMar>
            <w:vAlign w:val="center"/>
          </w:tcPr>
          <w:p>
            <w:pPr>
              <w:pStyle w:val="TableContents"/>
              <w:bidi w:val="0"/>
              <w:spacing w:before="0" w:after="283"/>
              <w:jc w:val="left"/>
              <w:rPr/>
            </w:pPr>
            <w:r>
              <w:rPr/>
              <w:t> </w:t>
            </w:r>
          </w:p>
        </w:tc>
      </w:tr>
      <w:tr>
        <w:trPr/>
        <w:tc>
          <w:tcPr>
            <w:tcW w:w="353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ind w:left="0" w:right="0" w:hanging="0"/>
              <w:jc w:val="left"/>
              <w:rPr/>
            </w:pPr>
            <w:r>
              <w:rPr/>
              <w:t> </w:t>
            </w:r>
          </w:p>
        </w:tc>
        <w:tc>
          <w:tcPr>
            <w:tcW w:w="62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ind w:left="0" w:right="0" w:hanging="0"/>
              <w:jc w:val="left"/>
              <w:rPr/>
            </w:pPr>
            <w:r>
              <w:rPr/>
              <w:t> </w:t>
            </w:r>
          </w:p>
        </w:tc>
        <w:tc>
          <w:tcPr>
            <w:tcW w:w="62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ind w:left="0" w:right="0" w:hanging="0"/>
              <w:jc w:val="left"/>
              <w:rPr/>
            </w:pPr>
            <w:r>
              <w:rPr/>
              <w:t> </w:t>
            </w:r>
          </w:p>
        </w:tc>
        <w:tc>
          <w:tcPr>
            <w:tcW w:w="92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ind w:left="0" w:right="0" w:hanging="0"/>
              <w:jc w:val="left"/>
              <w:rPr/>
            </w:pPr>
            <w:r>
              <w:rPr/>
              <w:t> </w:t>
            </w:r>
          </w:p>
        </w:tc>
        <w:tc>
          <w:tcPr>
            <w:tcW w:w="62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ind w:left="0" w:right="0" w:hanging="0"/>
              <w:jc w:val="left"/>
              <w:rPr/>
            </w:pPr>
            <w:r>
              <w:rPr/>
              <w:t> </w:t>
            </w:r>
          </w:p>
        </w:tc>
        <w:tc>
          <w:tcPr>
            <w:tcW w:w="62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ind w:left="0" w:right="0" w:hanging="0"/>
              <w:jc w:val="left"/>
              <w:rPr/>
            </w:pPr>
            <w:r>
              <w:rPr/>
              <w:t> </w:t>
            </w:r>
          </w:p>
        </w:tc>
        <w:tc>
          <w:tcPr>
            <w:tcW w:w="94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3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Marketing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ind w:left="0" w:right="0" w:hanging="0"/>
              <w:jc w:val="left"/>
              <w:rPr/>
            </w:pPr>
            <w:r>
              <w:rPr/>
              <w:t> </w:t>
            </w:r>
          </w:p>
        </w:tc>
        <w:tc>
          <w:tcPr>
            <w:tcW w:w="62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ind w:left="0" w:right="0" w:hanging="0"/>
              <w:jc w:val="left"/>
              <w:rPr/>
            </w:pPr>
            <w:r>
              <w:rPr/>
              <w:t> </w:t>
            </w:r>
          </w:p>
        </w:tc>
        <w:tc>
          <w:tcPr>
            <w:tcW w:w="62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 w:type="dxa"/>
            <w:tcBorders/>
            <w:shd w:fill="FFFFFF" w:val="clear"/>
            <w:tcMar>
              <w:bottom w:w="0" w:type="dxa"/>
            </w:tcMar>
            <w:vAlign w:val="center"/>
          </w:tcPr>
          <w:p>
            <w:pPr>
              <w:pStyle w:val="TableContents"/>
              <w:bidi w:val="0"/>
              <w:spacing w:before="0" w:after="283"/>
              <w:ind w:left="0" w:right="0" w:hanging="0"/>
              <w:jc w:val="left"/>
              <w:rPr/>
            </w:pPr>
            <w:r>
              <w:rPr/>
              <w:t> </w:t>
            </w:r>
          </w:p>
        </w:tc>
        <w:tc>
          <w:tcPr>
            <w:tcW w:w="92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ind w:left="0" w:right="0" w:hanging="0"/>
              <w:jc w:val="left"/>
              <w:rPr/>
            </w:pPr>
            <w:r>
              <w:rPr/>
              <w:t> </w:t>
            </w:r>
          </w:p>
        </w:tc>
        <w:tc>
          <w:tcPr>
            <w:tcW w:w="62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ind w:left="0" w:right="0" w:hanging="0"/>
              <w:jc w:val="left"/>
              <w:rPr/>
            </w:pPr>
            <w:r>
              <w:rPr/>
              <w:t> </w:t>
            </w:r>
          </w:p>
        </w:tc>
        <w:tc>
          <w:tcPr>
            <w:tcW w:w="62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ind w:left="0" w:right="0" w:hanging="0"/>
              <w:jc w:val="left"/>
              <w:rPr/>
            </w:pPr>
            <w:r>
              <w:rPr/>
              <w:t> </w:t>
            </w:r>
          </w:p>
        </w:tc>
        <w:tc>
          <w:tcPr>
            <w:tcW w:w="94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53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ind w:left="0" w:right="0" w:hanging="0"/>
              <w:jc w:val="left"/>
              <w:rPr/>
            </w:pPr>
            <w:r>
              <w:rPr/>
              <w:t> </w:t>
            </w:r>
          </w:p>
        </w:tc>
        <w:tc>
          <w:tcPr>
            <w:tcW w:w="62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ind w:left="0" w:right="0" w:hanging="0"/>
              <w:jc w:val="left"/>
              <w:rPr/>
            </w:pPr>
            <w:r>
              <w:rPr/>
              <w:t> </w:t>
            </w:r>
          </w:p>
        </w:tc>
        <w:tc>
          <w:tcPr>
            <w:tcW w:w="62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ind w:left="0" w:right="0" w:hanging="0"/>
              <w:jc w:val="left"/>
              <w:rPr/>
            </w:pPr>
            <w:r>
              <w:rPr/>
              <w:t> </w:t>
            </w:r>
          </w:p>
        </w:tc>
        <w:tc>
          <w:tcPr>
            <w:tcW w:w="92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ind w:left="0" w:right="0" w:hanging="0"/>
              <w:jc w:val="left"/>
              <w:rPr/>
            </w:pPr>
            <w:r>
              <w:rPr/>
              <w:t> </w:t>
            </w:r>
          </w:p>
        </w:tc>
        <w:tc>
          <w:tcPr>
            <w:tcW w:w="62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ind w:left="0" w:right="0" w:hanging="0"/>
              <w:jc w:val="left"/>
              <w:rPr/>
            </w:pPr>
            <w:r>
              <w:rPr/>
              <w:t> </w:t>
            </w:r>
          </w:p>
        </w:tc>
        <w:tc>
          <w:tcPr>
            <w:tcW w:w="62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ind w:left="0" w:right="0" w:hanging="0"/>
              <w:jc w:val="left"/>
              <w:rPr/>
            </w:pPr>
            <w:r>
              <w:rPr/>
              <w:t> </w:t>
            </w:r>
          </w:p>
        </w:tc>
        <w:tc>
          <w:tcPr>
            <w:tcW w:w="94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3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Administrative</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ind w:left="0" w:right="0" w:hanging="0"/>
              <w:jc w:val="left"/>
              <w:rPr/>
            </w:pPr>
            <w:r>
              <w:rPr/>
              <w:t> </w:t>
            </w:r>
          </w:p>
        </w:tc>
        <w:tc>
          <w:tcPr>
            <w:tcW w:w="62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ind w:left="0" w:right="0" w:hanging="0"/>
              <w:jc w:val="left"/>
              <w:rPr/>
            </w:pPr>
            <w:r>
              <w:rPr/>
              <w:t> </w:t>
            </w:r>
          </w:p>
        </w:tc>
        <w:tc>
          <w:tcPr>
            <w:tcW w:w="62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 w:type="dxa"/>
            <w:tcBorders/>
            <w:shd w:fill="FFFFFF" w:val="clear"/>
            <w:tcMar>
              <w:bottom w:w="0" w:type="dxa"/>
            </w:tcMar>
            <w:vAlign w:val="center"/>
          </w:tcPr>
          <w:p>
            <w:pPr>
              <w:pStyle w:val="TableContents"/>
              <w:bidi w:val="0"/>
              <w:spacing w:before="0" w:after="283"/>
              <w:ind w:left="0" w:right="0" w:hanging="0"/>
              <w:jc w:val="left"/>
              <w:rPr/>
            </w:pPr>
            <w:r>
              <w:rPr/>
              <w:t> </w:t>
            </w:r>
          </w:p>
        </w:tc>
        <w:tc>
          <w:tcPr>
            <w:tcW w:w="92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ind w:left="0" w:right="0" w:hanging="0"/>
              <w:jc w:val="left"/>
              <w:rPr/>
            </w:pPr>
            <w:r>
              <w:rPr/>
              <w:t> </w:t>
            </w:r>
          </w:p>
        </w:tc>
        <w:tc>
          <w:tcPr>
            <w:tcW w:w="62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ind w:left="0" w:right="0" w:hanging="0"/>
              <w:jc w:val="left"/>
              <w:rPr/>
            </w:pPr>
            <w:r>
              <w:rPr/>
              <w:t> </w:t>
            </w:r>
          </w:p>
        </w:tc>
        <w:tc>
          <w:tcPr>
            <w:tcW w:w="62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ind w:left="0" w:right="0" w:hanging="0"/>
              <w:jc w:val="left"/>
              <w:rPr/>
            </w:pPr>
            <w:r>
              <w:rPr/>
              <w:t> </w:t>
            </w:r>
          </w:p>
        </w:tc>
        <w:tc>
          <w:tcPr>
            <w:tcW w:w="94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53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ind w:left="0" w:right="0" w:hanging="0"/>
              <w:jc w:val="left"/>
              <w:rPr/>
            </w:pPr>
            <w:r>
              <w:rPr/>
              <w:t> </w:t>
            </w:r>
          </w:p>
        </w:tc>
        <w:tc>
          <w:tcPr>
            <w:tcW w:w="62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ind w:left="0" w:right="0" w:hanging="0"/>
              <w:jc w:val="left"/>
              <w:rPr/>
            </w:pPr>
            <w:r>
              <w:rPr/>
              <w:t> </w:t>
            </w:r>
          </w:p>
        </w:tc>
        <w:tc>
          <w:tcPr>
            <w:tcW w:w="62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ind w:left="0" w:right="0" w:hanging="0"/>
              <w:jc w:val="left"/>
              <w:rPr/>
            </w:pPr>
            <w:r>
              <w:rPr/>
              <w:t> </w:t>
            </w:r>
          </w:p>
        </w:tc>
        <w:tc>
          <w:tcPr>
            <w:tcW w:w="92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ind w:left="0" w:right="0" w:hanging="0"/>
              <w:jc w:val="left"/>
              <w:rPr/>
            </w:pPr>
            <w:r>
              <w:rPr/>
              <w:t> </w:t>
            </w:r>
          </w:p>
        </w:tc>
        <w:tc>
          <w:tcPr>
            <w:tcW w:w="62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ind w:left="0" w:right="0" w:hanging="0"/>
              <w:jc w:val="left"/>
              <w:rPr/>
            </w:pPr>
            <w:r>
              <w:rPr/>
              <w:t> </w:t>
            </w:r>
          </w:p>
        </w:tc>
        <w:tc>
          <w:tcPr>
            <w:tcW w:w="62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ind w:left="0" w:right="0" w:hanging="0"/>
              <w:jc w:val="left"/>
              <w:rPr/>
            </w:pPr>
            <w:r>
              <w:rPr/>
              <w:t> </w:t>
            </w:r>
          </w:p>
        </w:tc>
        <w:tc>
          <w:tcPr>
            <w:tcW w:w="94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3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before income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ind w:left="0" w:right="0" w:hanging="0"/>
              <w:jc w:val="left"/>
              <w:rPr/>
            </w:pPr>
            <w:r>
              <w:rPr/>
              <w:t> </w:t>
            </w:r>
          </w:p>
        </w:tc>
        <w:tc>
          <w:tcPr>
            <w:tcW w:w="62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ind w:left="0" w:right="0" w:hanging="0"/>
              <w:jc w:val="left"/>
              <w:rPr/>
            </w:pPr>
            <w:r>
              <w:rPr/>
              <w:t> </w:t>
            </w:r>
          </w:p>
        </w:tc>
        <w:tc>
          <w:tcPr>
            <w:tcW w:w="62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 w:type="dxa"/>
            <w:tcBorders/>
            <w:shd w:fill="FFFFFF" w:val="clear"/>
            <w:tcMar>
              <w:bottom w:w="0" w:type="dxa"/>
            </w:tcMar>
            <w:vAlign w:val="center"/>
          </w:tcPr>
          <w:p>
            <w:pPr>
              <w:pStyle w:val="TableContents"/>
              <w:bidi w:val="0"/>
              <w:spacing w:before="0" w:after="283"/>
              <w:ind w:left="0" w:right="0" w:hanging="0"/>
              <w:jc w:val="left"/>
              <w:rPr/>
            </w:pPr>
            <w:r>
              <w:rPr/>
              <w:t> </w:t>
            </w:r>
          </w:p>
        </w:tc>
        <w:tc>
          <w:tcPr>
            <w:tcW w:w="92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ind w:left="0" w:right="0" w:hanging="0"/>
              <w:jc w:val="left"/>
              <w:rPr/>
            </w:pPr>
            <w:r>
              <w:rPr/>
              <w:t> </w:t>
            </w:r>
          </w:p>
        </w:tc>
        <w:tc>
          <w:tcPr>
            <w:tcW w:w="62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ind w:left="0" w:right="0" w:hanging="0"/>
              <w:jc w:val="left"/>
              <w:rPr/>
            </w:pPr>
            <w:r>
              <w:rPr/>
              <w:t> </w:t>
            </w:r>
          </w:p>
        </w:tc>
        <w:tc>
          <w:tcPr>
            <w:tcW w:w="62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ind w:left="0" w:right="0" w:hanging="0"/>
              <w:jc w:val="left"/>
              <w:rPr/>
            </w:pPr>
            <w:r>
              <w:rPr/>
              <w:t> </w:t>
            </w:r>
          </w:p>
        </w:tc>
        <w:tc>
          <w:tcPr>
            <w:tcW w:w="94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3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ind w:left="0" w:right="0" w:hanging="0"/>
              <w:jc w:val="left"/>
              <w:rPr/>
            </w:pPr>
            <w:r>
              <w:rPr/>
              <w:t> </w:t>
            </w:r>
          </w:p>
        </w:tc>
        <w:tc>
          <w:tcPr>
            <w:tcW w:w="62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ind w:left="0" w:right="0" w:hanging="0"/>
              <w:jc w:val="left"/>
              <w:rPr/>
            </w:pPr>
            <w:r>
              <w:rPr/>
              <w:t> </w:t>
            </w:r>
          </w:p>
        </w:tc>
        <w:tc>
          <w:tcPr>
            <w:tcW w:w="62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ind w:left="0" w:right="0" w:hanging="0"/>
              <w:jc w:val="left"/>
              <w:rPr/>
            </w:pPr>
            <w:r>
              <w:rPr/>
              <w:t> </w:t>
            </w:r>
          </w:p>
        </w:tc>
        <w:tc>
          <w:tcPr>
            <w:tcW w:w="92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ind w:left="0" w:right="0" w:hanging="0"/>
              <w:jc w:val="left"/>
              <w:rPr/>
            </w:pPr>
            <w:r>
              <w:rPr/>
              <w:t> </w:t>
            </w:r>
          </w:p>
        </w:tc>
        <w:tc>
          <w:tcPr>
            <w:tcW w:w="62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ind w:left="0" w:right="0" w:hanging="0"/>
              <w:jc w:val="left"/>
              <w:rPr/>
            </w:pPr>
            <w:r>
              <w:rPr/>
              <w:t> </w:t>
            </w:r>
          </w:p>
        </w:tc>
        <w:tc>
          <w:tcPr>
            <w:tcW w:w="62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ind w:left="0" w:right="0" w:hanging="0"/>
              <w:jc w:val="left"/>
              <w:rPr/>
            </w:pPr>
            <w:r>
              <w:rPr/>
              <w:t> </w:t>
            </w:r>
          </w:p>
        </w:tc>
        <w:tc>
          <w:tcPr>
            <w:tcW w:w="94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Net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sales increased by $14.3 million, or 3.3%, to $454.3 million for the three months ended June 28, 2025, with the increase led by sales growth in our foodservice and frozen beverages segments, offset somewhat by a decrease in our retail supermarket segment. Net sales increased by $25.0 million, or 2.2%, to $1,173.0 million for the nine months ended June 28, 2025 with the increase led by sales growth in our foodservice and frozen beverages segments across the period, offset slightly by a decrease in our retail supermarket segment, which was attributable to the decline noted in the third fiscal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Gross Profit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Gross Profit increased by $2.3 million, or 1.5%, to $150.0 million for the three months ended June 28, 2025. As a percentage of sales, gross profit decreased from 33.6% to 33.0%. The increase in gross profit primarily related to the benefit of the increased net sales, while the slight decrease as a percentage of sales was primarily attributable to the higher proportion of lower margin machine sales in our frozen beverages business, as well as some foreign exchange related headwinds encountered by the frozen beverages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Gross Profit decreased by $10.9 million, or 3.1%, to $339.6 million for the nine months ended June 28, 2025. As a percentage of sales, gross profit decreased from 30.5% to 29.0%. This decrease primarily reflected the impact noted through the second fiscal quarter of the negative margin impacts from comparatively rising raw material costs and other inflationary pressures that outweighed recent pricing actions. Additionally, mix changes within our bakery business in the first fiscal quarter, the loss of some limited time offer churro volumes from prior year, and the impact of mix and foreign exchange related headwinds in the frozen beverages segment, all negatively impacted current period gross profit when compared to prior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Expenses decreased $8.2 million, or 8.4%, to $89.4 million for the three months ended June 28, 2025. As a percentage of sales, operating expenses decreased from 22.2% to 19.7%. The main driver of the decrease was the non-recurring net benefit of the $10.6 million gain on insurance proceeds received for damage to property, plant and equipment related to the fire at our Holly Ridge plant, offset slightly by the $1.5 million intangible asset impairment charge. As a percentage of sales, distribution expenses decreased from 10.2% to 9.8%, with the decrease driven by the benefits of our strategic initiatives to improve logistics management and increase efficiency across our distribution network and supply chain, as well as lower fuel expenses. As a percentage of sales, marketing expenses increased slightly from 7.4% to 7.5%, with the increase primarily attributable to higher summer promotional marketing spend in the period. As a percentage of sales, general and administrative expenses decreased slightly from 4.5% to 4.4%, with the decrease primarily attributable to the leveraging benefit of a higher sales base, as well as strong expense control discipline.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Expenses decreased $6.1 million, or 2.2%, to $266.8 million for the nine months ended June 28, 2025. As a percentage of sales, operating expenses decreased from 23.8% to 22.7%. The main driver of the decrease was the net benefit of the $10.6 million gain on insurance proceeds received for damage to property, plant and equipment at our Holly Ridge plant, offset slightly by the $1.5 million intangible asset impairment charge. As a percentage of sales, distribution expenses decreased from 11.3% to 10.8%, with the decrease driven by the benefits of our strategic initiatives to improve logistics management and increase efficiency across our distribution network and supply chain, combined with the impact of $2.3 million of non-recurring expenses in the prior year for start-up costs related to our regional distribution center supply chain transformation. As a percentage of sales, marketing expenses increased slightly from 7.6% to 7.8%, with the increase primarily attributable to higher summer promotional marketing spend, as well as higher tradename amortization expenses associated with a legacy churro brand that is being phased out for the Hola! Churro brand. As a percentage of sales, general and administrative expenses increased slightly from 4.9% to 5.0%, with the increase attributable to higher compensation costs as well as higher non-recurring legal expenses, primarily offset by the leveraging benefit of a higher sales base and strong expense control discipline.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Other Income and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Investment income decreased by $0.2 million to $0.6 million for the three months ended June 28, 2025, and increased by $0.1 million to $2.3 million for the nine months ended June 28,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expense decreased by $0.1 million to $0.4 million and by $0.8 million to $0.7 million for the three months and nine months, ended June 28, 2025, respectively, due to the decrease in the Company’s average outstanding borrowings on the Amended Credit Agreement for the three- and nine- month periods ended June 28, 2025, as compared to the prior year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Income Tax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Income tax expense increased by $2.5 million, or 17.6%, to $16.5 million for the three months ended June 28, 2025. The effective tax rate was 27.2% as compared with 27.9% in the prior year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Income tax expense decreased by $1.3 million, or 5.9%, to $20.3 million for the nine months ended June 28, 2025. The effective tax rate was 27.2% as compared with 27.4% in the prior year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Net Earnings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earnings increased by $7.9 million, or 21.9%, for the three months ended June 28, 2025, due to the aforementioned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earnings decreased by $2.7 million, or 4.7%, for the nine months ended June 28, 2025, due to the aforementioned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are many factors which can impact our net earnings from year to year and in the long run, among which are the supply and cost of raw materials and labor, insurance costs, factors impacting sales, the continuing consolidation of our customers, our ability to manage our manufacturing, marketing and distribution activities, our ability to make and integrate acquisitions and changes in tax laws and interest rates.</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Business Segment Discussion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operate in three segments: Food Service, Retail Supermarket, and Frozen Beverages. The following table is a summary of sales and operating income, which is how we measure segment profit.</w:t>
      </w:r>
    </w:p>
    <w:p>
      <w:pPr>
        <w:pStyle w:val="TextBody"/>
        <w:bidi w:val="0"/>
        <w:spacing w:before="0" w:after="0"/>
        <w:ind w:left="0" w:right="0" w:hanging="0"/>
        <w:jc w:val="left"/>
        <w:rPr>
          <w:caps w:val="false"/>
          <w:smallCaps w:val="false"/>
        </w:rPr>
      </w:pPr>
      <w:r>
        <w:rPr>
          <w:caps w:val="false"/>
          <w:smallCaps w:val="false"/>
        </w:rPr>
        <w:t> </w:t>
      </w:r>
    </w:p>
    <w:tbl>
      <w:tblPr>
        <w:tblW w:w="8060" w:type="dxa"/>
        <w:jc w:val="left"/>
        <w:tblInd w:w="0" w:type="dxa"/>
        <w:tblLayout w:type="fixed"/>
        <w:tblCellMar>
          <w:top w:w="0" w:type="dxa"/>
          <w:left w:w="0" w:type="dxa"/>
          <w:bottom w:w="0" w:type="dxa"/>
          <w:right w:w="0" w:type="dxa"/>
        </w:tblCellMar>
      </w:tblPr>
      <w:tblGrid>
        <w:gridCol w:w="1580"/>
        <w:gridCol w:w="60"/>
        <w:gridCol w:w="125"/>
        <w:gridCol w:w="695"/>
        <w:gridCol w:w="60"/>
        <w:gridCol w:w="60"/>
        <w:gridCol w:w="125"/>
        <w:gridCol w:w="695"/>
        <w:gridCol w:w="60"/>
        <w:gridCol w:w="60"/>
        <w:gridCol w:w="137"/>
        <w:gridCol w:w="768"/>
        <w:gridCol w:w="245"/>
        <w:gridCol w:w="60"/>
        <w:gridCol w:w="125"/>
        <w:gridCol w:w="845"/>
        <w:gridCol w:w="60"/>
        <w:gridCol w:w="60"/>
        <w:gridCol w:w="125"/>
        <w:gridCol w:w="845"/>
        <w:gridCol w:w="60"/>
        <w:gridCol w:w="60"/>
        <w:gridCol w:w="137"/>
        <w:gridCol w:w="768"/>
        <w:gridCol w:w="245"/>
      </w:tblGrid>
      <w:tr>
        <w:trPr/>
        <w:tc>
          <w:tcPr>
            <w:tcW w:w="1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8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08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tc>
        <w:tc>
          <w:tcPr>
            <w:tcW w:w="245"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60"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60"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Food Service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277,170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264,446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7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742,106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723,045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7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Retail Supermarket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63,860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68,723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7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162,425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165,372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7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Frozen Beverages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113,263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106,788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7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268,459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259,582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7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8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454,293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439,957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7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1,172,990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1,147,999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7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7721" w:type="dxa"/>
        <w:jc w:val="left"/>
        <w:tblInd w:w="0" w:type="dxa"/>
        <w:tblLayout w:type="fixed"/>
        <w:tblCellMar>
          <w:top w:w="0" w:type="dxa"/>
          <w:left w:w="0" w:type="dxa"/>
          <w:bottom w:w="0" w:type="dxa"/>
          <w:right w:w="0" w:type="dxa"/>
        </w:tblCellMar>
      </w:tblPr>
      <w:tblGrid>
        <w:gridCol w:w="1925"/>
        <w:gridCol w:w="60"/>
        <w:gridCol w:w="126"/>
        <w:gridCol w:w="598"/>
        <w:gridCol w:w="60"/>
        <w:gridCol w:w="60"/>
        <w:gridCol w:w="126"/>
        <w:gridCol w:w="598"/>
        <w:gridCol w:w="60"/>
        <w:gridCol w:w="60"/>
        <w:gridCol w:w="108"/>
        <w:gridCol w:w="797"/>
        <w:gridCol w:w="245"/>
        <w:gridCol w:w="60"/>
        <w:gridCol w:w="126"/>
        <w:gridCol w:w="598"/>
        <w:gridCol w:w="60"/>
        <w:gridCol w:w="60"/>
        <w:gridCol w:w="126"/>
        <w:gridCol w:w="598"/>
        <w:gridCol w:w="60"/>
        <w:gridCol w:w="60"/>
        <w:gridCol w:w="108"/>
        <w:gridCol w:w="797"/>
        <w:gridCol w:w="245"/>
      </w:tblGrid>
      <w:tr>
        <w:trPr/>
        <w:tc>
          <w:tcPr>
            <w:tcW w:w="1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93"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93"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tc>
        <w:tc>
          <w:tcPr>
            <w:tcW w:w="245"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797"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797"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68"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797"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68"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797"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797"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797"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r>
        <w:trPr/>
        <w:tc>
          <w:tcPr>
            <w:tcW w:w="19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19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Food Service</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92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Retail Supermarket</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9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Frozen Beverages</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92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50,116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72,859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77,703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Food Service Segment Results</w:t>
      </w:r>
    </w:p>
    <w:p>
      <w:pPr>
        <w:pStyle w:val="TextBody"/>
        <w:bidi w:val="0"/>
        <w:spacing w:before="0" w:after="0"/>
        <w:ind w:left="0" w:right="0" w:hanging="0"/>
        <w:jc w:val="left"/>
        <w:rPr>
          <w:caps w:val="false"/>
          <w:smallCaps w:val="false"/>
        </w:rPr>
      </w:pPr>
      <w:r>
        <w:rPr>
          <w:caps w:val="false"/>
          <w:smallCaps w:val="false"/>
        </w:rPr>
        <w:t> </w:t>
      </w:r>
    </w:p>
    <w:tbl>
      <w:tblPr>
        <w:tblW w:w="9470" w:type="dxa"/>
        <w:jc w:val="left"/>
        <w:tblInd w:w="0" w:type="dxa"/>
        <w:tblLayout w:type="fixed"/>
        <w:tblCellMar>
          <w:top w:w="0" w:type="dxa"/>
          <w:left w:w="0" w:type="dxa"/>
          <w:bottom w:w="0" w:type="dxa"/>
          <w:right w:w="0" w:type="dxa"/>
        </w:tblCellMar>
      </w:tblPr>
      <w:tblGrid>
        <w:gridCol w:w="3290"/>
        <w:gridCol w:w="60"/>
        <w:gridCol w:w="125"/>
        <w:gridCol w:w="695"/>
        <w:gridCol w:w="60"/>
        <w:gridCol w:w="60"/>
        <w:gridCol w:w="125"/>
        <w:gridCol w:w="695"/>
        <w:gridCol w:w="60"/>
        <w:gridCol w:w="60"/>
        <w:gridCol w:w="108"/>
        <w:gridCol w:w="797"/>
        <w:gridCol w:w="245"/>
        <w:gridCol w:w="60"/>
        <w:gridCol w:w="125"/>
        <w:gridCol w:w="695"/>
        <w:gridCol w:w="60"/>
        <w:gridCol w:w="60"/>
        <w:gridCol w:w="125"/>
        <w:gridCol w:w="695"/>
        <w:gridCol w:w="60"/>
        <w:gridCol w:w="60"/>
        <w:gridCol w:w="108"/>
        <w:gridCol w:w="797"/>
        <w:gridCol w:w="245"/>
      </w:tblGrid>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8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8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tc>
        <w:tc>
          <w:tcPr>
            <w:tcW w:w="245"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797"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797"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60"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797"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60"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797"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797"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797"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Food Service sales to external customers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Soft pretzels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67,142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59,529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169,693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163,985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Frozen novelties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52,804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104,764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100,464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Churros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76,803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89,155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Handhelds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67,348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62,851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Bakery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101,744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93,566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304,497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287,455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Food Service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277,170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264,446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742,106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723,045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Food Service operating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to food service customers increased $12.7 million, or 4.8%, to $277.2 million for the three months ended June 28, 2025 with the increase largely attributable to the benefit of price increases, as well as volume increases in certain product categories, most notably soft pretzels. Those increases were offset somewhat by volume declines seen in other product categories, most notably in the churro category, which was primarily driven by the lapping of the benefit of limited time offer churro volumes in the prior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Soft pretzels sales to food service increased 12.8% to $67.1 million, with the increase largely driven by strong volume increases across many of our pretzel products and brands, most notably our Bavarian pretzels, with a secondary benefit of price increases. Frozen novelties sales increased 2.1% to $52.8 million, led by an approximate 3% increase in Dippin’ Dots sales. Churro sales decreased 13.2% to $26.3, million with the decrease largely driven by the lapping of the benefit of limited time offer churro volumes with a major QSR customer in the prior year period which did not recur in the current quarter. Sales of bakery products increased by 8.7% to $101.7 million, with the growth primarily attributable to pricing increases related to the contractual pricing true-up of costing on certain raw material ingredients, somewhat offset by volume losses throughout the portfolio. Sales of handhelds remained relatively flat, decreasing by 0.1% to $21.3 million, with the decrease attributable to a slight volume decrease across our food service handhelds, mostly offset by pricing increases related to the contractual pricing true-up of costing on certain raw material ingredients.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of new products in the first twelve months since their introduction were minimal in the three months ended June 28, 2025. Sales in the quarter benefited from the impact of the mid single digit percentage price increases, with those price increases primarily related to the contractual pricing true-up of costing on certain raw material ingredients, as well as some targeted, non-contractual price increases taken in an attempt to offset the rising costs on certain raw material ingredients. The revenue increase attributable to price increases was slightly offset by net declining volumes, with the volume declines seen in our churros, and bakery portfolios offset by volume increases in our soft pretzel portfolio.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income in our Food Service segment increased $11.3 million in the quarter to $31.5 million, with the increase primarily attributable to the non-recurring net benefit of the $10.6 million gain on insurance proceeds received for damage to property, plant and equipment related to the fire at our Holly Ridge plant, offset slightly by the $1.5 million intangible asset impairment charge. Excluding these non-recurring charges, the remaining increase in operating income in our Food Service segment was primarily driven by the strong performance of our pretzel business, as well notable margin improvement on our churro portfolio. These increases more than offset the headwinds related to the volume declines in our bakery business and the impact of the lapping of the limited time offer churro promotion with a major QSR customer in our prior year quarter, that did not recur in the current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to food service customers increased $19.1 million, or 2.6%, to $742.1 million for the nine months ended June 28, 2025. Soft pretzels sales to food service customers increased 3.5% to $169.7 million with the increase largely related to the previously referenced strong volume increases noted in the fiscal third quarter. Frozen novelties sales increased 4.3% to $104.8 million with the increase driven by an approximate 5% increase in Dippin’ Dots sales. Churro sales decreased 13.9% to $76.8 million with the decrease largely driven by the lapping of the benefit of limited time offer churro volumes with a major QSR customer in the prior year period which did not recur in the current year period, somewhat offset by new business growth. Sales of bakery increased 5.9% to $304.5 million, with the increase largely attributable to the contractual pricing true-up of costing on certain raw material ingredients, as well as some targeted, non-contractual price increases taken in an attempt to offset the rising costs on certain raw material ingredients offset somewhat by volume declines, most notably in our fiscal first quarter related to our pie portfolio and the loss of some seasonal business with a declining margin profile that we bid on, but did not retain. Sales of handhelds increased 7.2% to $67.3 million with the increase attributable to a combination of strong volume increases across our core food service handhelds as well as pricing increases related to the contractual pricing true-up of costing on certain raw material ingredients.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of new products in the first twelve months since their introduction were approximately $3.5 million for the nine months ended June 28, 2025, driven primarily by the addition of churros to the menu of a major fast food customer. Sales in the nine-month period benefited from the impact of the mid single digit percentage price increases, with those price increases primarily related to the contractual pricing true-up of costing on certain raw material ingredients, as well as some targeted, non-contractual price increases taken in an attempt to offset the rising costs on certain raw material ingredients. The revenue increase attributable to price increases was somewhat offset by declining volumes, most noticeably in our churro portfolio due to the lapping of the benefit of limited time offer churro volumes with a major QSR customer in the prior year period which did not recur in the current year period, as well as in our bakery portfolio, due to the volume declines in our pie business in the first fiscal quarter related to loss of some seasonal business with a declining profit margin profile that we bid on, but did not retain.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income in our Food Service segment increased $0.2 million in the nine months ended June 28, 2025, to $34.4 million. Operating income in our Food Service segment was materially affected by the non-recurring net benefit of the $10.6 million gain on insurance proceeds received for damage to property, plant and equipment related to the fire at our Holly Ridge plant, offset slightly by the $1.5 million intangible asset impairment charge. Excluding the net $9.1 million benefit of these non-recurring charges, operating income in our Food Service segment decreased $8.9 million, to $25.3 million, which primarily reflected the impact noted through the second fiscal quarter of the gross margin pressures due to the rising raw material costs and other inflationary pressures, outweighing the benefits from price increases, as well as an unfavorable product mix. The unfavorable product mix reflected the fiscal first quarter loss of some seasonal business within bakery with a declining margin profile that we bid on, but did not retain, as well as lower churro volumes as we lapped the benefit from a limited time offer with a quick serve restaurant in the prior year.</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Retail Supermarket Segment Results</w:t>
      </w:r>
    </w:p>
    <w:p>
      <w:pPr>
        <w:pStyle w:val="TextBody"/>
        <w:bidi w:val="0"/>
        <w:spacing w:before="0" w:after="0"/>
        <w:ind w:left="0" w:right="0" w:hanging="0"/>
        <w:jc w:val="left"/>
        <w:rPr>
          <w:caps w:val="false"/>
          <w:smallCaps w:val="false"/>
        </w:rPr>
      </w:pPr>
      <w:r>
        <w:rPr>
          <w:caps w:val="false"/>
          <w:smallCaps w:val="false"/>
        </w:rPr>
        <w:t> </w:t>
      </w:r>
    </w:p>
    <w:tbl>
      <w:tblPr>
        <w:tblW w:w="9853" w:type="dxa"/>
        <w:jc w:val="left"/>
        <w:tblInd w:w="0" w:type="dxa"/>
        <w:tblLayout w:type="fixed"/>
        <w:tblCellMar>
          <w:top w:w="0" w:type="dxa"/>
          <w:left w:w="0" w:type="dxa"/>
          <w:bottom w:w="0" w:type="dxa"/>
          <w:right w:w="0" w:type="dxa"/>
        </w:tblCellMar>
      </w:tblPr>
      <w:tblGrid>
        <w:gridCol w:w="3785"/>
        <w:gridCol w:w="60"/>
        <w:gridCol w:w="126"/>
        <w:gridCol w:w="598"/>
        <w:gridCol w:w="80"/>
        <w:gridCol w:w="60"/>
        <w:gridCol w:w="126"/>
        <w:gridCol w:w="598"/>
        <w:gridCol w:w="80"/>
        <w:gridCol w:w="60"/>
        <w:gridCol w:w="89"/>
        <w:gridCol w:w="816"/>
        <w:gridCol w:w="245"/>
        <w:gridCol w:w="60"/>
        <w:gridCol w:w="125"/>
        <w:gridCol w:w="695"/>
        <w:gridCol w:w="80"/>
        <w:gridCol w:w="60"/>
        <w:gridCol w:w="125"/>
        <w:gridCol w:w="695"/>
        <w:gridCol w:w="80"/>
        <w:gridCol w:w="60"/>
        <w:gridCol w:w="108"/>
        <w:gridCol w:w="797"/>
        <w:gridCol w:w="245"/>
      </w:tblGrid>
      <w:tr>
        <w:trPr/>
        <w:tc>
          <w:tcPr>
            <w:tcW w:w="3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633"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82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tc>
        <w:tc>
          <w:tcPr>
            <w:tcW w:w="245"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797"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88"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0"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797"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797"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Retail Supermarket sales to external customers</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Soft pretzels</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46,010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Frozen novelties</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85,558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82,747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Biscuits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Handhelds</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Coupon redemption</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Retail Supermarket</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63,860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68,723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162,425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165,372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Retail Supermarket operating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of products to retail customers decreased $4.9 million, or 7.1%, to $63.9 million for the three months ended June 28, 2025, with the decrease primarily attributable to declining frozen novelties volumes. Soft pretzel sales increased 3.3% to $11.5 million. Frozen novelties sales decreased 8.5% to $42.3 million, with volume declines seen across many of our brands due to lower promotional activity in the quarter, as well as the lapping of a very strong prior year fiscal third quarter. Biscuit sales decreased 8.2% to $4.4 million, and Handheld sales decreased 21.2% to $6.0 million with the decrease in Handheld sales primarily attributable to the impact of the fire at our Holly Ridge location, and delays that were experienced in the production of our retail handhelds during the quarter. Sales of new products in retail supermarkets were approximately $2.8 million in the quarter, driven primarily by the launch of Dippin’ Dots sundaes. Sales in the quarter benefited from the impact of the low single digit percentage price increases, with the benefit more than offset by volume declines, most notably within the frozen novelties product category.</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income in our Retail Supermarkets segment decreased $2.1 million in the quarter to $5.8 million, primarily driven by the impact of lower volumes and lower sales in the segment.</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of products to retail customers decreased $2.9 million, or 1.8%, to $162.4 million for the nine months ended June 28, 2025. Soft pretzel sales decreased 3.1% to $44.6 million with the decrease largely due to soft consumer trends seen within the product category earlier in the fiscal year. Frozen novelties sales increased 3.4% to $85.6 million, with the increase largely attributable to growth in our second fiscal quarter, most notably within our Dogsters and Luigi’s brands, offset somewhat by the volume declines noted in our third fiscal quarter. Biscuit sales decreased 4.3% to $17.3 million, and Handheld sales decreased 19.9% to $16.2 million with the decrease in Handheld sales primarily attributable to the impact of the fire at our Holly Ridge location, and delays that were experienced in the production of our retail handhelds during the period. Sales of new products in retail supermarkets were approximately $3.4 million in the nine months ended June 28, 2025, driven primarily by the launch of Dippin’ Dots sundaes. Sales in the nine-month period were impacted minimally by price increases, with the revenue decline attributable to volume decreases in the third fiscal quarter somewhat offset by volume increases that had been noted through our second fiscal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income in our Retail Supermarkets segment decreased $4.5 million in the nine months ended June 28, 2025 to $8.9 million, primarily driven by the declining frozen novelties volumes noted in our third fiscal quarter, as well as gross margin performance noted through our second fiscal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Frozen Beverages Segment Results</w:t>
      </w:r>
    </w:p>
    <w:p>
      <w:pPr>
        <w:pStyle w:val="TextBody"/>
        <w:bidi w:val="0"/>
        <w:spacing w:before="0" w:after="0"/>
        <w:ind w:left="0" w:right="0" w:hanging="0"/>
        <w:jc w:val="left"/>
        <w:rPr>
          <w:caps w:val="false"/>
          <w:smallCaps w:val="false"/>
        </w:rPr>
      </w:pPr>
      <w:r>
        <w:rPr>
          <w:caps w:val="false"/>
          <w:smallCaps w:val="false"/>
        </w:rPr>
        <w:t> </w:t>
      </w:r>
    </w:p>
    <w:tbl>
      <w:tblPr>
        <w:tblW w:w="9845" w:type="dxa"/>
        <w:jc w:val="left"/>
        <w:tblInd w:w="0" w:type="dxa"/>
        <w:tblLayout w:type="fixed"/>
        <w:tblCellMar>
          <w:top w:w="0" w:type="dxa"/>
          <w:left w:w="0" w:type="dxa"/>
          <w:bottom w:w="0" w:type="dxa"/>
          <w:right w:w="0" w:type="dxa"/>
        </w:tblCellMar>
      </w:tblPr>
      <w:tblGrid>
        <w:gridCol w:w="3665"/>
        <w:gridCol w:w="60"/>
        <w:gridCol w:w="125"/>
        <w:gridCol w:w="695"/>
        <w:gridCol w:w="60"/>
        <w:gridCol w:w="60"/>
        <w:gridCol w:w="125"/>
        <w:gridCol w:w="695"/>
        <w:gridCol w:w="60"/>
        <w:gridCol w:w="60"/>
        <w:gridCol w:w="108"/>
        <w:gridCol w:w="797"/>
        <w:gridCol w:w="245"/>
        <w:gridCol w:w="60"/>
        <w:gridCol w:w="125"/>
        <w:gridCol w:w="695"/>
        <w:gridCol w:w="60"/>
        <w:gridCol w:w="60"/>
        <w:gridCol w:w="125"/>
        <w:gridCol w:w="695"/>
        <w:gridCol w:w="60"/>
        <w:gridCol w:w="60"/>
        <w:gridCol w:w="123"/>
        <w:gridCol w:w="782"/>
        <w:gridCol w:w="245"/>
      </w:tblGrid>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8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8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tc>
        <w:tc>
          <w:tcPr>
            <w:tcW w:w="245"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797"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60"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797"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60"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797"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Frozen Beverages sales to external customers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Beverages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71,040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72,092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157,197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158,708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7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Repair and maintenance service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72,232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71,538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7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Machines revenue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73.4</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7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7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Frozen Beverages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113,263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106,788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268,459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259,582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7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Frozen Beverages operating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7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Frozen beverage and related product sales increased $6.5 million, or 6.1%, in the three months ended June 28, 2025. Beverage-related sales decreased 1.5% to $71.0 million, with the decrease primarily reflecting weakness in a number of our channels, as well as the unfavorable foreign exchange impacts from a weaker Mexican Peso, somewhat offset by the comparative strength noted within the theater channel. Gallon sales decreased approximately 1% for the three months ended June 28, 2025. Service revenue increased 2.7% to $24.4 million and machine revenue (primarily sales of frozen beverage machines) increased 73.4% to $16.9 million with the growth driven by a major convenience customer updating its equipment across its store network.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income in our Frozen Beverage segment increased $1.3 million in the quarter to $23.3 million, as the increase in machine revenues, as well as focused expense management, more than offset the somewhat weak beverage sales and the unfavorable foreign exchange related headwinds.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Frozen beverage and related product sales increased $8.9 million, or 3.4% in the nine months ended June 28, 2025. Beverage-related sales decreased 1.0% to $157.2 million. Gallon sales increased approximately 1% for the nine months ended June 28, 2025, with that slight increase in gallon sales offset by a slightly less favorable sales mix and some foreign exchange related headwinds. Service revenue increased 1.0% to $72.2 million. Machine revenue (primarily sales of frozen beverage machines) increased 36.2% to $36.6 million, primarily driven by strong growth from theater and convenience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income in our Frozen Beverage segment decreased $0.6 million in the nine months ended June 28, 2025 to $29.5 million, primarily due to the impact of unfavorable mix, and the unfavorable foreign exchange related headwinds, somewhat offset by focused expense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Although there are many factors that could impact our operating cash flow, most notably net earnings, we believe that our future operating cash flow, along with our borrowing capacity, our current cash and cash equivalent balances and our investment securities is sufficient to satisfy our cash requirements over the next twelve months and beyond, as well as to fund future growth and expansion.</w:t>
      </w:r>
    </w:p>
    <w:p>
      <w:pPr>
        <w:pStyle w:val="TextBody"/>
        <w:bidi w:val="0"/>
        <w:spacing w:before="0" w:after="0"/>
        <w:ind w:left="0" w:right="0" w:hanging="0"/>
        <w:jc w:val="left"/>
        <w:rPr>
          <w:caps w:val="false"/>
          <w:smallCaps w:val="false"/>
        </w:rPr>
      </w:pPr>
      <w:r>
        <w:rPr>
          <w:caps w:val="false"/>
          <w:smallCaps w:val="false"/>
        </w:rPr>
        <w:t> </w:t>
      </w:r>
    </w:p>
    <w:tbl>
      <w:tblPr>
        <w:tblW w:w="8570" w:type="dxa"/>
        <w:jc w:val="left"/>
        <w:tblInd w:w="0" w:type="dxa"/>
        <w:tblLayout w:type="fixed"/>
        <w:tblCellMar>
          <w:top w:w="0" w:type="dxa"/>
          <w:left w:w="0" w:type="dxa"/>
          <w:bottom w:w="0" w:type="dxa"/>
          <w:right w:w="0" w:type="dxa"/>
        </w:tblCellMar>
      </w:tblPr>
      <w:tblGrid>
        <w:gridCol w:w="6695"/>
        <w:gridCol w:w="60"/>
        <w:gridCol w:w="125"/>
        <w:gridCol w:w="650"/>
        <w:gridCol w:w="80"/>
        <w:gridCol w:w="60"/>
        <w:gridCol w:w="125"/>
        <w:gridCol w:w="695"/>
        <w:gridCol w:w="80"/>
      </w:tblGrid>
      <w:tr>
        <w:trPr/>
        <w:tc>
          <w:tcPr>
            <w:tcW w:w="6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3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tc>
        <w:tc>
          <w:tcPr>
            <w:tcW w:w="80" w:type="dxa"/>
            <w:tcBorders/>
            <w:vAlign w:val="center"/>
          </w:tcPr>
          <w:p>
            <w:pPr>
              <w:pStyle w:val="TableContents"/>
              <w:bidi w:val="0"/>
              <w:spacing w:before="0" w:after="283"/>
              <w:jc w:val="left"/>
              <w:rPr/>
            </w:pPr>
            <w:r>
              <w:rPr/>
              <w:t> </w:t>
            </w:r>
          </w:p>
        </w:tc>
      </w:tr>
      <w:tr>
        <w:trPr/>
        <w:tc>
          <w:tcPr>
            <w:tcW w:w="6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29,</w:t>
            </w:r>
          </w:p>
        </w:tc>
        <w:tc>
          <w:tcPr>
            <w:tcW w:w="80" w:type="dxa"/>
            <w:tcBorders/>
            <w:vAlign w:val="center"/>
          </w:tcPr>
          <w:p>
            <w:pPr>
              <w:pStyle w:val="TableContents"/>
              <w:bidi w:val="0"/>
              <w:spacing w:before="0" w:after="283"/>
              <w:jc w:val="left"/>
              <w:rPr/>
            </w:pPr>
            <w:r>
              <w:rPr/>
              <w:t> </w:t>
            </w:r>
          </w:p>
        </w:tc>
      </w:tr>
      <w:tr>
        <w:trPr/>
        <w:tc>
          <w:tcPr>
            <w:tcW w:w="6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r>
      <w:tr>
        <w:trPr/>
        <w:tc>
          <w:tcPr>
            <w:tcW w:w="6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35"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80" w:type="dxa"/>
            <w:tcBorders/>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54,214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56,910</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items in net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of fixed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47,141</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intangibles and deferred costs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5,244</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 impairment charges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from disposals of property &amp;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4,841</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insurance proceeds received for damage to property, plant,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(10,622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insurance proceeds received in excess of operating losses recognized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assets and liabilities, net of effects from purchase of companies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(4,288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12,055</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operating activities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98,697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126,746</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Gain on insurance proceeds received related to insurance recoveries related to the Holly Ridge fire and totaled approximately $11.4 million.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net cash outflow of $4.3 million in cash flows associated with changes in assets and liabilities, net of effects from purchase of companies, in the nine months ended June 28, 2025, was primarily driven by largely offsetting impacts across working capital categories, including a $21.6 million increase in inventories, a $16.5 million increase in accounts receivable, and a $33.8 million increase in cash flow from other operating assets and liabilities, net. In the prior year, the net cash inflow of $12.1 million was primarily driven by $30.3 million increase in cash flow from other operating assets and liabilities, net, offset somewhat by an increase in accounts receivable of $10.9 million and an increase in inventories of $7.3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6575" w:type="dxa"/>
        <w:jc w:val="left"/>
        <w:tblInd w:w="0" w:type="dxa"/>
        <w:tblLayout w:type="fixed"/>
        <w:tblCellMar>
          <w:top w:w="0" w:type="dxa"/>
          <w:left w:w="0" w:type="dxa"/>
          <w:bottom w:w="0" w:type="dxa"/>
          <w:right w:w="0" w:type="dxa"/>
        </w:tblCellMar>
      </w:tblPr>
      <w:tblGrid>
        <w:gridCol w:w="4745"/>
        <w:gridCol w:w="60"/>
        <w:gridCol w:w="125"/>
        <w:gridCol w:w="650"/>
        <w:gridCol w:w="80"/>
        <w:gridCol w:w="60"/>
        <w:gridCol w:w="125"/>
        <w:gridCol w:w="650"/>
        <w:gridCol w:w="80"/>
      </w:tblGrid>
      <w:tr>
        <w:trPr/>
        <w:tc>
          <w:tcPr>
            <w:tcW w:w="4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9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tc>
        <w:tc>
          <w:tcPr>
            <w:tcW w:w="80" w:type="dxa"/>
            <w:tcBorders/>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29,</w:t>
            </w:r>
          </w:p>
        </w:tc>
        <w:tc>
          <w:tcPr>
            <w:tcW w:w="80" w:type="dxa"/>
            <w:tcBorders/>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90"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80" w:type="dxa"/>
            <w:tcBorders/>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for purchases of companies, net of cash acquired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(7,014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property, plant and equipment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(61,264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(56,371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disposal of property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w:t>
            </w:r>
          </w:p>
        </w:tc>
        <w:tc>
          <w:tcPr>
            <w:tcW w:w="80"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insurance for fixed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(48,430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(62,901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tbl>
      <w:tblPr>
        <w:tblW w:w="8995" w:type="dxa"/>
        <w:jc w:val="left"/>
        <w:tblInd w:w="0" w:type="dxa"/>
        <w:tblLayout w:type="fixed"/>
        <w:tblCellMar>
          <w:top w:w="0" w:type="dxa"/>
          <w:left w:w="0" w:type="dxa"/>
          <w:bottom w:w="0" w:type="dxa"/>
          <w:right w:w="0" w:type="dxa"/>
        </w:tblCellMar>
      </w:tblPr>
      <w:tblGrid>
        <w:gridCol w:w="60"/>
        <w:gridCol w:w="170"/>
        <w:gridCol w:w="87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7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prior year payment for purchases of companies, net of cash acquired related to the Thinsters acquisition.</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Purchases of property, plant and equipment include spending for production growth, in addition to acquiring new equipment, infrastructure replacements, and upgrades to maintain competitive standing and position us for future opportunities.</w:t>
            </w:r>
          </w:p>
        </w:tc>
      </w:tr>
    </w:tbl>
    <w:p>
      <w:pPr>
        <w:pStyle w:val="TextBody"/>
        <w:bidi w:val="0"/>
        <w:spacing w:before="0" w:after="0"/>
        <w:ind w:left="0" w:right="0" w:hanging="0"/>
        <w:jc w:val="left"/>
        <w:rPr>
          <w:caps w:val="false"/>
          <w:smallCaps w:val="false"/>
        </w:rPr>
      </w:pPr>
      <w:r>
        <w:rPr>
          <w:caps w:val="false"/>
          <w:smallCaps w:val="false"/>
        </w:rPr>
        <w:t> </w:t>
      </w:r>
    </w:p>
    <w:tbl>
      <w:tblPr>
        <w:tblW w:w="8485" w:type="dxa"/>
        <w:jc w:val="left"/>
        <w:tblInd w:w="0" w:type="dxa"/>
        <w:tblLayout w:type="fixed"/>
        <w:tblCellMar>
          <w:top w:w="0" w:type="dxa"/>
          <w:left w:w="0" w:type="dxa"/>
          <w:bottom w:w="0" w:type="dxa"/>
          <w:right w:w="0" w:type="dxa"/>
        </w:tblCellMar>
      </w:tblPr>
      <w:tblGrid>
        <w:gridCol w:w="60"/>
        <w:gridCol w:w="170"/>
        <w:gridCol w:w="82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2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Proceeds from insurance for fixed assets related to insurance recoveries related to the Holly Ridge fire.</w:t>
            </w:r>
          </w:p>
        </w:tc>
      </w:tr>
    </w:tbl>
    <w:p>
      <w:pPr>
        <w:pStyle w:val="TextBody"/>
        <w:bidi w:val="0"/>
        <w:spacing w:before="0" w:after="0"/>
        <w:ind w:left="0" w:right="0" w:hanging="0"/>
        <w:jc w:val="left"/>
        <w:rPr>
          <w:caps w:val="false"/>
          <w:smallCaps w:val="false"/>
        </w:rPr>
      </w:pPr>
      <w:r>
        <w:rPr>
          <w:caps w:val="false"/>
          <w:smallCaps w:val="false"/>
        </w:rPr>
        <w:t> </w:t>
      </w:r>
    </w:p>
    <w:tbl>
      <w:tblPr>
        <w:tblW w:w="5600" w:type="dxa"/>
        <w:jc w:val="left"/>
        <w:tblInd w:w="0" w:type="dxa"/>
        <w:tblLayout w:type="fixed"/>
        <w:tblCellMar>
          <w:top w:w="0" w:type="dxa"/>
          <w:left w:w="0" w:type="dxa"/>
          <w:bottom w:w="0" w:type="dxa"/>
          <w:right w:w="0" w:type="dxa"/>
        </w:tblCellMar>
      </w:tblPr>
      <w:tblGrid>
        <w:gridCol w:w="3770"/>
        <w:gridCol w:w="60"/>
        <w:gridCol w:w="125"/>
        <w:gridCol w:w="650"/>
        <w:gridCol w:w="80"/>
        <w:gridCol w:w="60"/>
        <w:gridCol w:w="125"/>
        <w:gridCol w:w="650"/>
        <w:gridCol w:w="80"/>
      </w:tblGrid>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9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tc>
        <w:tc>
          <w:tcPr>
            <w:tcW w:w="80"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29,</w:t>
            </w:r>
          </w:p>
        </w:tc>
        <w:tc>
          <w:tcPr>
            <w:tcW w:w="80"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90"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80"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to repurchase common stock</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issuance of stock</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9,657</w:t>
            </w:r>
          </w:p>
        </w:tc>
        <w:tc>
          <w:tcPr>
            <w:tcW w:w="8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Borrowings under credit facility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57,000</w:t>
            </w:r>
          </w:p>
        </w:tc>
        <w:tc>
          <w:tcPr>
            <w:tcW w:w="8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 of borrowings under credit facility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on finance lease obligations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 of cash dividend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(45,575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(42,693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cash (used in) 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(47,653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(48,156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1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the nine months ended June 28, 2025, the Company repurchased 39,061 shares of common stock of the Company at an average price of $128.00 per share on the open market, pursuant to the share repurchase program.</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Proceeds from issuance of stock decreased in the nine months ended June 28, 2025 as the quantity of stock options being exercised continues to decline as the Company began to issue service share units and performance units as forms of stock-based compensation in recent years.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Borrowings under credit facility and repayment of borrowings under credit facility relate to the Company’s cash draws and repayments made to primarily fund working capital needs.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increase in payment of cash dividends from prior year period was due to the raising of our quarterly dividend during fiscal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June 28, 2025, we had $77.4 million of cash and cash equivalents and no long-term debt outstanding.</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December 2021, the Company entered into an amended and restated loan agreement (the “Credit Agreement”) with our existing banks which provided for up to a $50 million revolving credit facility repayable in December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June 21, 2022, the Company entered into an amendment to the Credit Agreement, the “Amended Credit Agreement” which provided for an incremental increase of $175 million in available borrowings. The Amended Credit Agreement also includes an option to increase the size of the revolving credit facility by up to an amount not to exceed in the aggregate the greater of $225 million or, $50 million plus the Consolidated EBITDA of the Borrowers, subject to the satisfaction of certain 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accrues, at the Company’s election at (i) the BSBY Rate (as defined in the Credit Agreement), plus an applicable margin, based upon the Consolidated Net Leverage Ratio, as defined in the Credit Agreement, or (ii) the Alternate Base Rate (a rate based on the higher of (a) the prime rate announced from time-to-time by the Administrative Agent, (b) the Federal Reserve System’s federal funds rate, plus 0.50% or (c) the Daily BSBY Rate, plus an applicable margin). The Alternate Base Rate is defined in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Credit Agreement requires the Company to comply with various affirmative and negative covenants, including without limitation (i) covenants to maintain a minimum specified interest coverage ratio and maximum specified net leverage ratio, and (ii) subject to certain exceptions, covenants that prevent or restrict the Company’s ability to pay dividends, engage in certain mergers or acquisitions, make certain investments or loans, incur future indebtedness, alter its capital structure or line of business, prepay subordinated indebtedness, engage in certain transactions with affiliates, or amend its organizational documents. As of June 28, 2025, the Company is in compliance with all financial covenants of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June 28, 2025, there was no outstanding balance under the Amended Credit Agreement. As of June 28, 2025, the amount available under the Amended Credit Agreement was $212.7 million, after giving effect to the $12.3 million of letters of credit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Critical Accounting Policies, Judgments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have been no material changes to our critical accounting policies, judgments and estimates from the information provided in Part II, Item 7, Management’s Discussion and Analysis of Financial Condition and Results of Operations - Critical Accounting Policies, Judgments and Estimates, in our Annual Report on Form 10-K for the year ended September 28, 2024, as filed with the SEC on November 26, 2024.</w:t>
      </w:r>
    </w:p>
    <w:p>
      <w:pPr>
        <w:pStyle w:val="TextBody"/>
        <w:bidi w:val="0"/>
        <w:spacing w:before="0" w:after="0"/>
        <w:ind w:left="0" w:right="0" w:hanging="0"/>
        <w:jc w:val="left"/>
        <w:rPr>
          <w:caps w:val="false"/>
          <w:smallCaps w:val="false"/>
        </w:rPr>
      </w:pPr>
      <w:r>
        <w:rPr>
          <w:caps w:val="false"/>
          <w:smallCaps w:val="false"/>
        </w:rPr>
        <w:t> </w:t>
      </w:r>
    </w:p>
    <w:tbl>
      <w:tblPr>
        <w:tblW w:w="5710" w:type="dxa"/>
        <w:jc w:val="left"/>
        <w:tblInd w:w="0" w:type="dxa"/>
        <w:tblLayout w:type="fixed"/>
        <w:tblCellMar>
          <w:top w:w="0" w:type="dxa"/>
          <w:left w:w="0" w:type="dxa"/>
          <w:bottom w:w="0" w:type="dxa"/>
          <w:right w:w="0" w:type="dxa"/>
        </w:tblCellMar>
      </w:tblPr>
      <w:tblGrid>
        <w:gridCol w:w="605"/>
        <w:gridCol w:w="5105"/>
      </w:tblGrid>
      <w:tr>
        <w:trPr/>
        <w:tc>
          <w:tcPr>
            <w:tcW w:w="6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3.</w:t>
            </w:r>
          </w:p>
        </w:tc>
        <w:tc>
          <w:tcPr>
            <w:tcW w:w="51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Quantitative and Qualitative Disclosures About Market Risk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has been no material change in the Company’s assessment of its sensitivity to market risk since its presentation set forth, in item 7a. “Quantitative and Qualitative Disclosures About Market Risk,” in our Annual Report on Form 10-K for the year ended September 28, 2024, as filed with the SEC on November 26, 2024.</w:t>
      </w:r>
    </w:p>
    <w:p>
      <w:pPr>
        <w:pStyle w:val="TextBody"/>
        <w:bidi w:val="0"/>
        <w:spacing w:before="0" w:after="0"/>
        <w:ind w:left="0" w:right="0" w:hanging="0"/>
        <w:jc w:val="left"/>
        <w:rPr>
          <w:caps w:val="false"/>
          <w:smallCaps w:val="false"/>
        </w:rPr>
      </w:pPr>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605"/>
        <w:gridCol w:w="2120"/>
      </w:tblGrid>
      <w:tr>
        <w:trPr/>
        <w:tc>
          <w:tcPr>
            <w:tcW w:w="6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4.</w:t>
            </w:r>
          </w:p>
        </w:tc>
        <w:tc>
          <w:tcPr>
            <w:tcW w:w="212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Controls and Procedures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management, under the supervision and with the participation of our principal executive officer and principal financial officer, has evaluated the effectiveness of our disclosure controls and procedures (as defined in Rules 13a-15(e) and 15d-15(e) under the Securities Exchange Act of 1934, as amended, or the Exchange Act, as of June 28, 2025. The term “disclosure controls and procedures,”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disclosures. Based on such evaluation, our principal executive officer and principal financial officer have concluded that as of June 28, 2025 our disclosure controls and procedures were not effective because of the material weakness in internal control over financial reporting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Notwithstanding the ineffective disclosure controls and procedures as a result of the identified material weakness described below, management has concluded that the condensed consolidated financial statements included elsewhere in this Quarterly Report on Form 10-Q present fairly, in all material respects, the Company’s financial position, results of operations and cash flows in accordance with generally accepted accounting principles in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Material Weaknesses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previously disclosed, management identified a material weakness related to ineffective information technology general controls (“ITGCs”), including certain controls over logical access and change management. As a result, certain business process controls that are dependent on the ineffective ITGCs or rely on the data produced from systems impacted by the ineffective ITGCs, were also deemed ineffective.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Management</w:t>
      </w:r>
      <w:r>
        <w:rPr>
          <w:rFonts w:ascii="Times New Roman" w:hAnsi="Times New Roman"/>
          <w:caps w:val="false"/>
          <w:smallCaps w:val="false"/>
          <w:sz w:val="20"/>
          <w:u w:val="single"/>
        </w:rPr>
        <w:t>’</w:t>
      </w:r>
      <w:r>
        <w:rPr>
          <w:rFonts w:ascii="Times New Roman" w:hAnsi="Times New Roman"/>
          <w:b/>
          <w:caps w:val="false"/>
          <w:smallCaps w:val="false"/>
          <w:sz w:val="20"/>
          <w:u w:val="single"/>
        </w:rPr>
        <w:t>s Remediation Plan and Status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management is committed to maintaining a strong internal control environment. In response to the identified material weakness above, management has already taken steps to substantially remediate this material weakness and will continue to take further steps until such remediation is complete. Remediation efforts include ensuring that change management and user access controls are performed timely. Our remediation plan also includes: (i) enhancing processes around reviewing privileged access to key financial systems, (ii) strengthening change management procedures, (iii) expanding the management and governance over ITGCs, (iv) enhancing existing access management procedures and ownership.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management continues to evaluate and work to improve our disclosure controls and procedures and internal control over financial reporting, we may take additional measures to address these control deficiencies or modify certain remediation measures described above. We anticipate that the foregoing efforts, when implemented and tested for a sufficient period of time, will remediate the material weakness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than continuing to make progress on the ongoing remediation efforts described above, there were no changes in the Company’s internal control over financial reporting identified in connection with the evaluation required by Rule 13a-15(d) and 15d-15(d) of the Exchange Act that occurred during the quarter ended June 28, 2025 that has materially affected, or is reasonably likely to materially affect, the Company’s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PART II.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is subject, from time to time, to certain legal proceedings and claims that arise from our business. As of the date of this Quarterly Report on Form 10-Q, the Company does not expect that any such proceedings will have a material adverse effect on the Company’s financial position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information on risk factors, please refer to “Risk Factors” in Part I, Item 1A of the Company’s Form 10-K for the fiscal year ended September 28, 2024. The risks identified in that report have not changed in any material respect.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2.  Unregistered Sales of Equity Securities and the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tables sets forth repurchases of our common stock during the third quarter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607" w:type="dxa"/>
        <w:jc w:val="left"/>
        <w:tblInd w:w="0" w:type="dxa"/>
        <w:tblLayout w:type="fixed"/>
        <w:tblCellMar>
          <w:top w:w="0" w:type="dxa"/>
          <w:left w:w="0" w:type="dxa"/>
          <w:bottom w:w="0" w:type="dxa"/>
          <w:right w:w="0" w:type="dxa"/>
        </w:tblCellMar>
      </w:tblPr>
      <w:tblGrid>
        <w:gridCol w:w="2855"/>
        <w:gridCol w:w="60"/>
        <w:gridCol w:w="245"/>
        <w:gridCol w:w="945"/>
        <w:gridCol w:w="60"/>
        <w:gridCol w:w="60"/>
        <w:gridCol w:w="80"/>
        <w:gridCol w:w="794"/>
        <w:gridCol w:w="60"/>
        <w:gridCol w:w="60"/>
        <w:gridCol w:w="849"/>
        <w:gridCol w:w="1135"/>
        <w:gridCol w:w="60"/>
        <w:gridCol w:w="60"/>
        <w:gridCol w:w="388"/>
        <w:gridCol w:w="1836"/>
        <w:gridCol w:w="60"/>
      </w:tblGrid>
      <w:tr>
        <w:trPr/>
        <w:tc>
          <w:tcPr>
            <w:tcW w:w="2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79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8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number of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2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Approximate dollar value</w:t>
            </w:r>
          </w:p>
        </w:tc>
        <w:tc>
          <w:tcPr>
            <w:tcW w:w="60"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9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8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purchased as part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2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of shares that may yet</w:t>
            </w:r>
          </w:p>
        </w:tc>
        <w:tc>
          <w:tcPr>
            <w:tcW w:w="60"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9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of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price paid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8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publicly announced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2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be purchased under</w:t>
            </w:r>
          </w:p>
        </w:tc>
        <w:tc>
          <w:tcPr>
            <w:tcW w:w="60" w:type="dxa"/>
            <w:tcBorders/>
            <w:vAlign w:val="center"/>
          </w:tcPr>
          <w:p>
            <w:pPr>
              <w:pStyle w:val="TableContents"/>
              <w:bidi w:val="0"/>
              <w:spacing w:before="0" w:after="283"/>
              <w:jc w:val="left"/>
              <w:rPr/>
            </w:pPr>
            <w:r>
              <w:rPr/>
              <w:t> </w:t>
            </w:r>
          </w:p>
        </w:tc>
      </w:tr>
      <w:tr>
        <w:trPr/>
        <w:tc>
          <w:tcPr>
            <w:tcW w:w="285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Period</w:t>
            </w:r>
          </w:p>
        </w:tc>
        <w:tc>
          <w:tcPr>
            <w:tcW w:w="60" w:type="dxa"/>
            <w:tcBorders/>
            <w:vAlign w:val="center"/>
          </w:tcPr>
          <w:p>
            <w:pPr>
              <w:pStyle w:val="TableContents"/>
              <w:bidi w:val="0"/>
              <w:spacing w:before="0" w:after="283"/>
              <w:ind w:left="0" w:right="0" w:hanging="0"/>
              <w:jc w:val="left"/>
              <w:rPr/>
            </w:pPr>
            <w:r>
              <w:rPr/>
              <w:t> </w:t>
            </w:r>
          </w:p>
        </w:tc>
        <w:tc>
          <w:tcPr>
            <w:tcW w:w="11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purchased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plans or programs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plans or programs (2)</w:t>
            </w:r>
          </w:p>
        </w:tc>
        <w:tc>
          <w:tcPr>
            <w:tcW w:w="60"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79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left"/>
              <w:rPr/>
            </w:pPr>
            <w:r>
              <w:rPr/>
              <w:t> </w:t>
            </w:r>
          </w:p>
        </w:tc>
        <w:tc>
          <w:tcPr>
            <w:tcW w:w="11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2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March 30, 2025 to April 26, 2025</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ind w:left="0" w:right="0" w:hanging="0"/>
              <w:jc w:val="left"/>
              <w:rPr/>
            </w:pPr>
            <w:r>
              <w:rPr/>
              <w:t> </w:t>
            </w:r>
          </w:p>
        </w:tc>
        <w:tc>
          <w:tcPr>
            <w:tcW w:w="9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7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ind w:left="0" w:right="0" w:hanging="0"/>
              <w:jc w:val="left"/>
              <w:rPr/>
            </w:pPr>
            <w:r>
              <w:rPr/>
              <w:t> </w:t>
            </w:r>
          </w:p>
        </w:tc>
        <w:tc>
          <w:tcPr>
            <w:tcW w:w="11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45,000</w:t>
            </w:r>
          </w:p>
        </w:tc>
        <w:tc>
          <w:tcPr>
            <w:tcW w:w="60"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April 27, 2025 to May 24, 2025</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ind w:left="0" w:right="0" w:hanging="0"/>
              <w:jc w:val="left"/>
              <w:rPr/>
            </w:pPr>
            <w:r>
              <w:rPr/>
              <w:t> </w:t>
            </w:r>
          </w:p>
        </w:tc>
        <w:tc>
          <w:tcPr>
            <w:tcW w:w="9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7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ind w:left="0" w:right="0" w:hanging="0"/>
              <w:jc w:val="left"/>
              <w:rPr/>
            </w:pPr>
            <w:r>
              <w:rPr/>
              <w:t> </w:t>
            </w:r>
          </w:p>
        </w:tc>
        <w:tc>
          <w:tcPr>
            <w:tcW w:w="11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8" w:type="dxa"/>
            <w:tcBorders/>
            <w:shd w:fill="FFFFFF" w:val="clear"/>
            <w:vAlign w:val="center"/>
          </w:tcPr>
          <w:p>
            <w:pPr>
              <w:pStyle w:val="TableContents"/>
              <w:bidi w:val="0"/>
              <w:spacing w:before="0" w:after="283"/>
              <w:ind w:left="0" w:right="0" w:hanging="0"/>
              <w:jc w:val="left"/>
              <w:rPr/>
            </w:pPr>
            <w:r>
              <w:rPr/>
              <w:t> </w:t>
            </w:r>
          </w:p>
        </w:tc>
        <w:tc>
          <w:tcPr>
            <w:tcW w:w="18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45,000</w:t>
            </w:r>
          </w:p>
        </w:tc>
        <w:tc>
          <w:tcPr>
            <w:tcW w:w="60"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May 25, 2025 to June 28, 2025</w:t>
            </w:r>
          </w:p>
        </w:tc>
        <w:tc>
          <w:tcPr>
            <w:tcW w:w="60" w:type="dxa"/>
            <w:tcBorders/>
            <w:shd w:fill="CCEEFF" w:val="clear"/>
            <w:vAlign w:val="center"/>
          </w:tcPr>
          <w:p>
            <w:pPr>
              <w:pStyle w:val="TableContents"/>
              <w:bidi w:val="0"/>
              <w:spacing w:before="0" w:after="283"/>
              <w:jc w:val="left"/>
              <w:rPr/>
            </w:pPr>
            <w:r>
              <w:rPr/>
              <w:t> </w:t>
            </w:r>
          </w:p>
        </w:tc>
        <w:tc>
          <w:tcPr>
            <w:tcW w:w="2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8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45,000</w:t>
            </w:r>
          </w:p>
        </w:tc>
        <w:tc>
          <w:tcPr>
            <w:tcW w:w="60"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 June 28, 2025</w:t>
            </w:r>
          </w:p>
        </w:tc>
        <w:tc>
          <w:tcPr>
            <w:tcW w:w="60" w:type="dxa"/>
            <w:tcBorders/>
            <w:shd w:fill="FFFFFF" w:val="cle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7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8" w:type="dxa"/>
            <w:tcBorders/>
            <w:shd w:fill="FFFFFF" w:val="clear"/>
            <w:vAlign w:val="center"/>
          </w:tcPr>
          <w:p>
            <w:pPr>
              <w:pStyle w:val="TableContents"/>
              <w:bidi w:val="0"/>
              <w:spacing w:before="0" w:after="283"/>
              <w:ind w:left="0" w:right="0" w:hanging="0"/>
              <w:jc w:val="left"/>
              <w:rPr/>
            </w:pPr>
            <w:r>
              <w:rPr/>
              <w:t> </w:t>
            </w:r>
          </w:p>
        </w:tc>
        <w:tc>
          <w:tcPr>
            <w:tcW w:w="18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45,000</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38"/>
        <w:gridCol w:w="9907"/>
      </w:tblGrid>
      <w:tr>
        <w:trPr/>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90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were 36 shares withheld to cover taxes associated with the vesting of certain restricted stock units held by officers and employees.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99"/>
        <w:gridCol w:w="9946"/>
      </w:tblGrid>
      <w:tr>
        <w:trPr/>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994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February 3, 2025, the Company announced that the Board of Directors authorized a share repurchase program (the 2025 Share Repurchase Program) pursuant to which the Company could repurchase up to $50.0 million of the Company’s common stock, exclusive of any fees, commissions, and other expenses related to such repurchases. As of June 28, 2025, there remains $45.0 million of share repurchase availability under the 2025 Share Repurchase Program.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200" w:type="dxa"/>
        <w:jc w:val="left"/>
        <w:tblInd w:w="0" w:type="dxa"/>
        <w:tblLayout w:type="fixed"/>
        <w:tblCellMar>
          <w:top w:w="0" w:type="dxa"/>
          <w:left w:w="0" w:type="dxa"/>
          <w:bottom w:w="0" w:type="dxa"/>
          <w:right w:w="0" w:type="dxa"/>
        </w:tblCellMar>
      </w:tblPr>
      <w:tblGrid>
        <w:gridCol w:w="605"/>
        <w:gridCol w:w="1595"/>
      </w:tblGrid>
      <w:tr>
        <w:trPr/>
        <w:tc>
          <w:tcPr>
            <w:tcW w:w="6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5.</w:t>
            </w:r>
          </w:p>
        </w:tc>
        <w:tc>
          <w:tcPr>
            <w:tcW w:w="159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the three months ended June 28, 2025, none of our directors or executive officers adopted, modified or terminated any contract, instruction or written plan for the purchase or sale of our securities that was intended to satisfy the affirmative defense conditions of Rule 10b5-1(c) or any “non-Rule 10b5-1 trading arrangement” as defined in Item 408(c) of Regulation S-K.</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330" w:type="dxa"/>
        <w:jc w:val="left"/>
        <w:tblInd w:w="0" w:type="dxa"/>
        <w:tblLayout w:type="fixed"/>
        <w:tblCellMar>
          <w:top w:w="0" w:type="dxa"/>
          <w:left w:w="0" w:type="dxa"/>
          <w:bottom w:w="0" w:type="dxa"/>
          <w:right w:w="0" w:type="dxa"/>
        </w:tblCellMar>
      </w:tblPr>
      <w:tblGrid>
        <w:gridCol w:w="605"/>
        <w:gridCol w:w="725"/>
      </w:tblGrid>
      <w:tr>
        <w:trPr/>
        <w:tc>
          <w:tcPr>
            <w:tcW w:w="6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6.</w:t>
            </w:r>
          </w:p>
        </w:tc>
        <w:tc>
          <w:tcPr>
            <w:tcW w:w="72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 No.</w:t>
      </w:r>
    </w:p>
    <w:p>
      <w:pPr>
        <w:pStyle w:val="TextBody"/>
        <w:bidi w:val="0"/>
        <w:spacing w:before="0" w:after="0"/>
        <w:ind w:left="0" w:right="0" w:hanging="0"/>
        <w:jc w:val="left"/>
        <w:rPr>
          <w:caps w:val="false"/>
          <w:smallCaps w:val="false"/>
        </w:rPr>
      </w:pPr>
      <w:r>
        <w:rPr>
          <w:caps w:val="false"/>
          <w:smallCaps w:val="false"/>
        </w:rPr>
        <w:t> </w:t>
      </w:r>
    </w:p>
    <w:tbl>
      <w:tblPr>
        <w:tblW w:w="6955" w:type="dxa"/>
        <w:jc w:val="left"/>
        <w:tblInd w:w="0" w:type="dxa"/>
        <w:tblLayout w:type="fixed"/>
        <w:tblCellMar>
          <w:top w:w="0" w:type="dxa"/>
          <w:left w:w="0" w:type="dxa"/>
          <w:bottom w:w="0" w:type="dxa"/>
          <w:right w:w="0" w:type="dxa"/>
        </w:tblCellMar>
      </w:tblPr>
      <w:tblGrid>
        <w:gridCol w:w="60"/>
        <w:gridCol w:w="1025"/>
        <w:gridCol w:w="5870"/>
      </w:tblGrid>
      <w:tr>
        <w:trPr/>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0"/>
              <w:ind w:left="0" w:right="0" w:hanging="0"/>
              <w:jc w:val="left"/>
              <w:rPr/>
            </w:pPr>
            <w:hyperlink w:anchor="ex_844806.htm">
              <w:r>
                <w:rPr>
                  <w:rStyle w:val="InternetLink"/>
                  <w:rFonts w:ascii="Times New Roman;Times;serif" w:hAnsi="Times New Roman;Times;serif"/>
                  <w:sz w:val="20"/>
                </w:rPr>
                <w:t>31.1</w:t>
              </w:r>
            </w:hyperlink>
            <w:r>
              <w:rPr>
                <w:rFonts w:ascii="Times New Roman;Times;serif" w:hAnsi="Times New Roman;Times;serif"/>
                <w:sz w:val="20"/>
              </w:rPr>
              <w:t xml:space="preserve"> &amp; </w:t>
            </w:r>
            <w:hyperlink w:anchor="ex_844807.htm">
              <w:r>
                <w:rPr>
                  <w:rStyle w:val="InternetLink"/>
                  <w:rFonts w:ascii="Times New Roman;Times;serif" w:hAnsi="Times New Roman;Times;serif"/>
                  <w:sz w:val="20"/>
                </w:rPr>
                <w:t xml:space="preserve">31.2 </w:t>
              </w:r>
            </w:hyperlink>
          </w:p>
        </w:tc>
        <w:tc>
          <w:tcPr>
            <w:tcW w:w="58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Certification Pursuant to Section 302 of the Sarbanes-Oxley Act of 2002</w:t>
            </w:r>
          </w:p>
        </w:tc>
      </w:tr>
    </w:tbl>
    <w:tbl>
      <w:tblPr>
        <w:tblW w:w="10205" w:type="dxa"/>
        <w:jc w:val="left"/>
        <w:tblInd w:w="0" w:type="dxa"/>
        <w:tblLayout w:type="fixed"/>
        <w:tblCellMar>
          <w:top w:w="0" w:type="dxa"/>
          <w:left w:w="0" w:type="dxa"/>
          <w:bottom w:w="0" w:type="dxa"/>
          <w:right w:w="0" w:type="dxa"/>
        </w:tblCellMar>
      </w:tblPr>
      <w:tblGrid>
        <w:gridCol w:w="60"/>
        <w:gridCol w:w="922"/>
        <w:gridCol w:w="9223"/>
      </w:tblGrid>
      <w:tr>
        <w:trPr/>
        <w:tc>
          <w:tcPr>
            <w:tcW w:w="60"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0"/>
              <w:ind w:left="0" w:right="0" w:hanging="0"/>
              <w:jc w:val="left"/>
              <w:rPr/>
            </w:pPr>
            <w:hyperlink w:anchor="ex_844808.htm">
              <w:r>
                <w:rPr>
                  <w:rStyle w:val="InternetLink"/>
                  <w:rFonts w:ascii="Times New Roman;Times;serif" w:hAnsi="Times New Roman;Times;serif"/>
                  <w:sz w:val="20"/>
                </w:rPr>
                <w:t>32.1</w:t>
              </w:r>
            </w:hyperlink>
            <w:r>
              <w:rPr>
                <w:rFonts w:ascii="Times New Roman;Times;serif" w:hAnsi="Times New Roman;Times;serif"/>
                <w:sz w:val="20"/>
              </w:rPr>
              <w:t xml:space="preserve"> &amp; </w:t>
            </w:r>
            <w:hyperlink w:anchor="ex_844809.htm">
              <w:r>
                <w:rPr>
                  <w:rStyle w:val="InternetLink"/>
                  <w:rFonts w:ascii="Times New Roman;Times;serif" w:hAnsi="Times New Roman;Times;serif"/>
                  <w:sz w:val="20"/>
                </w:rPr>
                <w:t>32.2</w:t>
              </w:r>
            </w:hyperlink>
          </w:p>
        </w:tc>
        <w:tc>
          <w:tcPr>
            <w:tcW w:w="92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Certification Pursuant to the 18 U.S.C. Section 1350, as Adopted Pursuant to Section 906 of the Sarbanes-Oxley Act of 2002</w:t>
            </w:r>
          </w:p>
        </w:tc>
      </w:tr>
    </w:tbl>
    <w:tbl>
      <w:tblPr>
        <w:tblW w:w="10205" w:type="dxa"/>
        <w:jc w:val="left"/>
        <w:tblInd w:w="0" w:type="dxa"/>
        <w:tblLayout w:type="fixed"/>
        <w:tblCellMar>
          <w:top w:w="0" w:type="dxa"/>
          <w:left w:w="0" w:type="dxa"/>
          <w:bottom w:w="0" w:type="dxa"/>
          <w:right w:w="0" w:type="dxa"/>
        </w:tblCellMar>
      </w:tblPr>
      <w:tblGrid>
        <w:gridCol w:w="60"/>
        <w:gridCol w:w="485"/>
        <w:gridCol w:w="9660"/>
      </w:tblGrid>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101.1</w:t>
            </w:r>
          </w:p>
        </w:tc>
        <w:tc>
          <w:tcPr>
            <w:tcW w:w="96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financial information from J&amp;J Snack Foods Corp.'s Quarterly Report on Form 10-Q for the quarter ended June 28, 2025, formatted in Inline XBRL (Inline extensible Business Reporting Language):</w:t>
            </w:r>
          </w:p>
        </w:tc>
      </w:tr>
    </w:tbl>
    <w:p>
      <w:pPr>
        <w:pStyle w:val="TextBody"/>
        <w:bidi w:val="0"/>
        <w:spacing w:before="0" w:after="0"/>
        <w:ind w:left="0" w:right="0" w:hanging="0"/>
        <w:jc w:val="left"/>
        <w:rPr>
          <w:caps w:val="false"/>
          <w:smallCaps w:val="false"/>
        </w:rPr>
      </w:pPr>
      <w:r>
        <w:rPr>
          <w:caps w:val="false"/>
          <w:smallCaps w:val="false"/>
        </w:rPr>
        <w:t> </w:t>
      </w:r>
    </w:p>
    <w:tbl>
      <w:tblPr>
        <w:tblW w:w="2695" w:type="dxa"/>
        <w:jc w:val="left"/>
        <w:tblInd w:w="0" w:type="dxa"/>
        <w:tblLayout w:type="fixed"/>
        <w:tblCellMar>
          <w:top w:w="0" w:type="dxa"/>
          <w:left w:w="0" w:type="dxa"/>
          <w:bottom w:w="0" w:type="dxa"/>
          <w:right w:w="0" w:type="dxa"/>
        </w:tblCellMar>
      </w:tblPr>
      <w:tblGrid>
        <w:gridCol w:w="60"/>
        <w:gridCol w:w="200"/>
        <w:gridCol w:w="243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w:t>
            </w:r>
          </w:p>
        </w:tc>
        <w:tc>
          <w:tcPr>
            <w:tcW w:w="2435" w:type="dxa"/>
            <w:tcBorders/>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Balance Sheets,</w:t>
            </w:r>
          </w:p>
        </w:tc>
      </w:tr>
    </w:tbl>
    <w:tbl>
      <w:tblPr>
        <w:tblW w:w="3385" w:type="dxa"/>
        <w:jc w:val="left"/>
        <w:tblInd w:w="0" w:type="dxa"/>
        <w:tblLayout w:type="fixed"/>
        <w:tblCellMar>
          <w:top w:w="0" w:type="dxa"/>
          <w:left w:w="0" w:type="dxa"/>
          <w:bottom w:w="0" w:type="dxa"/>
          <w:right w:w="0" w:type="dxa"/>
        </w:tblCellMar>
      </w:tblPr>
      <w:tblGrid>
        <w:gridCol w:w="60"/>
        <w:gridCol w:w="260"/>
        <w:gridCol w:w="3065"/>
      </w:tblGrid>
      <w:tr>
        <w:trPr/>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(ii)</w:t>
            </w:r>
          </w:p>
        </w:tc>
        <w:tc>
          <w:tcPr>
            <w:tcW w:w="3065" w:type="dxa"/>
            <w:tcBorders/>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Statements of Earnings,</w:t>
            </w:r>
          </w:p>
        </w:tc>
      </w:tr>
    </w:tbl>
    <w:tbl>
      <w:tblPr>
        <w:tblW w:w="4645" w:type="dxa"/>
        <w:jc w:val="left"/>
        <w:tblInd w:w="0" w:type="dxa"/>
        <w:tblLayout w:type="fixed"/>
        <w:tblCellMar>
          <w:top w:w="0" w:type="dxa"/>
          <w:left w:w="0" w:type="dxa"/>
          <w:bottom w:w="0" w:type="dxa"/>
          <w:right w:w="0" w:type="dxa"/>
        </w:tblCellMar>
      </w:tblPr>
      <w:tblGrid>
        <w:gridCol w:w="60"/>
        <w:gridCol w:w="320"/>
        <w:gridCol w:w="4265"/>
      </w:tblGrid>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(iii)</w:t>
            </w:r>
          </w:p>
        </w:tc>
        <w:tc>
          <w:tcPr>
            <w:tcW w:w="4265" w:type="dxa"/>
            <w:tcBorders/>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Statements of Comprehensive Income,</w:t>
            </w:r>
          </w:p>
        </w:tc>
      </w:tr>
    </w:tbl>
    <w:tbl>
      <w:tblPr>
        <w:tblW w:w="3940" w:type="dxa"/>
        <w:jc w:val="left"/>
        <w:tblInd w:w="0" w:type="dxa"/>
        <w:tblLayout w:type="fixed"/>
        <w:tblCellMar>
          <w:top w:w="0" w:type="dxa"/>
          <w:left w:w="0" w:type="dxa"/>
          <w:bottom w:w="0" w:type="dxa"/>
          <w:right w:w="0" w:type="dxa"/>
        </w:tblCellMar>
      </w:tblPr>
      <w:tblGrid>
        <w:gridCol w:w="60"/>
        <w:gridCol w:w="305"/>
        <w:gridCol w:w="3575"/>
      </w:tblGrid>
      <w:tr>
        <w:trPr/>
        <w:tc>
          <w:tcPr>
            <w:tcW w:w="6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(iv)</w:t>
            </w:r>
          </w:p>
        </w:tc>
        <w:tc>
          <w:tcPr>
            <w:tcW w:w="3575" w:type="dxa"/>
            <w:tcBorders/>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Consolidated Statements of Cash Flows and</w:t>
            </w:r>
          </w:p>
        </w:tc>
      </w:tr>
    </w:tbl>
    <w:tbl>
      <w:tblPr>
        <w:tblW w:w="4540" w:type="dxa"/>
        <w:jc w:val="left"/>
        <w:tblInd w:w="0" w:type="dxa"/>
        <w:tblLayout w:type="fixed"/>
        <w:tblCellMar>
          <w:top w:w="0" w:type="dxa"/>
          <w:left w:w="0" w:type="dxa"/>
          <w:bottom w:w="0" w:type="dxa"/>
          <w:right w:w="0" w:type="dxa"/>
        </w:tblCellMar>
      </w:tblPr>
      <w:tblGrid>
        <w:gridCol w:w="60"/>
        <w:gridCol w:w="305"/>
        <w:gridCol w:w="4175"/>
      </w:tblGrid>
      <w:tr>
        <w:trPr/>
        <w:tc>
          <w:tcPr>
            <w:tcW w:w="6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(iv)</w:t>
            </w:r>
          </w:p>
        </w:tc>
        <w:tc>
          <w:tcPr>
            <w:tcW w:w="4175" w:type="dxa"/>
            <w:tcBorders/>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Notes to the Consolidated Financial Statements</w:t>
            </w:r>
          </w:p>
        </w:tc>
      </w:tr>
    </w:tbl>
    <w:p>
      <w:pPr>
        <w:pStyle w:val="TextBody"/>
        <w:bidi w:val="0"/>
        <w:spacing w:before="0" w:after="0"/>
        <w:ind w:left="0" w:right="0" w:hanging="0"/>
        <w:jc w:val="left"/>
        <w:rPr>
          <w:caps w:val="false"/>
          <w:smallCaps w:val="false"/>
        </w:rPr>
      </w:pPr>
      <w:r>
        <w:rPr>
          <w:caps w:val="false"/>
          <w:smallCaps w:val="false"/>
        </w:rPr>
        <w:t> </w:t>
      </w:r>
    </w:p>
    <w:tbl>
      <w:tblPr>
        <w:tblW w:w="7795" w:type="dxa"/>
        <w:jc w:val="left"/>
        <w:tblInd w:w="0" w:type="dxa"/>
        <w:tblLayout w:type="fixed"/>
        <w:tblCellMar>
          <w:top w:w="0" w:type="dxa"/>
          <w:left w:w="0" w:type="dxa"/>
          <w:bottom w:w="0" w:type="dxa"/>
          <w:right w:w="0" w:type="dxa"/>
        </w:tblCellMar>
      </w:tblPr>
      <w:tblGrid>
        <w:gridCol w:w="60"/>
        <w:gridCol w:w="335"/>
        <w:gridCol w:w="7400"/>
      </w:tblGrid>
      <w:tr>
        <w:trPr/>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74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containing in Exhibit 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860" w:type="dxa"/>
        <w:jc w:val="left"/>
        <w:tblInd w:w="0" w:type="dxa"/>
        <w:tblLayout w:type="fixed"/>
        <w:tblCellMar>
          <w:top w:w="0" w:type="dxa"/>
          <w:left w:w="0" w:type="dxa"/>
          <w:bottom w:w="0" w:type="dxa"/>
          <w:right w:w="0" w:type="dxa"/>
        </w:tblCellMar>
      </w:tblPr>
      <w:tblGrid>
        <w:gridCol w:w="1895"/>
        <w:gridCol w:w="3965"/>
      </w:tblGrid>
      <w:tr>
        <w:trPr/>
        <w:tc>
          <w:tcPr>
            <w:tcW w:w="189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left"/>
              <w:rPr/>
            </w:pPr>
            <w:r>
              <w:rPr/>
              <w:t>J &amp; J SNACK FOODS CORP.</w:t>
            </w:r>
          </w:p>
        </w:tc>
      </w:tr>
      <w:tr>
        <w:trPr/>
        <w:tc>
          <w:tcPr>
            <w:tcW w:w="189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Dated:  August 6, 2025</w:t>
            </w:r>
          </w:p>
        </w:tc>
        <w:tc>
          <w:tcPr>
            <w:tcW w:w="3965"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 Dan Fachner</w:t>
            </w:r>
          </w:p>
        </w:tc>
      </w:tr>
      <w:tr>
        <w:trPr/>
        <w:tc>
          <w:tcPr>
            <w:tcW w:w="189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Dan Fachner</w:t>
            </w:r>
          </w:p>
        </w:tc>
      </w:tr>
      <w:tr>
        <w:trPr/>
        <w:tc>
          <w:tcPr>
            <w:tcW w:w="189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Chairman, President and Chief Executive Officer</w:t>
            </w:r>
          </w:p>
        </w:tc>
      </w:tr>
      <w:tr>
        <w:trPr/>
        <w:tc>
          <w:tcPr>
            <w:tcW w:w="189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w:t>
            </w:r>
          </w:p>
        </w:tc>
      </w:tr>
      <w:tr>
        <w:trPr/>
        <w:tc>
          <w:tcPr>
            <w:tcW w:w="189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Dated:  August 6, 2025</w:t>
            </w:r>
          </w:p>
        </w:tc>
        <w:tc>
          <w:tcPr>
            <w:tcW w:w="3965"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 Shawn Munsell</w:t>
            </w:r>
          </w:p>
        </w:tc>
      </w:tr>
      <w:tr>
        <w:trPr/>
        <w:tc>
          <w:tcPr>
            <w:tcW w:w="189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Shawn Munsell, Senior Vice</w:t>
            </w:r>
          </w:p>
        </w:tc>
      </w:tr>
      <w:tr>
        <w:trPr/>
        <w:tc>
          <w:tcPr>
            <w:tcW w:w="189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and Chief Financial Officer</w:t>
            </w:r>
          </w:p>
        </w:tc>
      </w:tr>
      <w:tr>
        <w:trPr/>
        <w:tc>
          <w:tcPr>
            <w:tcW w:w="189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Officer)</w:t>
            </w:r>
          </w:p>
        </w:tc>
      </w:tr>
      <w:tr>
        <w:trPr/>
        <w:tc>
          <w:tcPr>
            <w:tcW w:w="189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ind w:left="0" w:right="0" w:hanging="0"/>
        <w:jc w:val="center"/>
        <w:rPr>
          <w:rFonts w:ascii="Times New Roman" w:hAnsi="Times New Roman"/>
          <w:sz w:val="20"/>
        </w:rPr>
      </w:pPr>
      <w:r>
        <w:rPr>
          <w:rFonts w:ascii="Times New Roman" w:hAnsi="Times New Roman"/>
          <w:sz w:val="20"/>
        </w:rPr>
        <w:t>31</w:t>
      </w:r>
    </w:p>
    <w:p>
      <w:pPr>
        <w:pStyle w:val="TextBody"/>
        <w:bidi w:val="0"/>
        <w:spacing w:before="0" w:after="0"/>
        <w:ind w:left="0" w:right="0" w:hanging="0"/>
        <w:jc w:val="left"/>
        <w:rPr>
          <w:rFonts w:ascii="Times New Roman" w:hAnsi="Times New Roman"/>
          <w:b/>
          <w:caps w:val="false"/>
          <w:smallCaps w:val="false"/>
          <w:sz w:val="20"/>
        </w:rPr>
      </w:pPr>
      <w:bookmarkStart w:id="2" w:name="ex_844806.htm"/>
      <w:bookmarkStart w:id="3" w:name="ksex_844806"/>
      <w:bookmarkEnd w:id="2"/>
      <w:bookmarkEnd w:id="3"/>
      <w:r>
        <w:rPr>
          <w:rFonts w:ascii="Times New Roman" w:hAnsi="Times New Roman"/>
          <w:b/>
          <w:caps w:val="false"/>
          <w:smallCaps w:val="false"/>
          <w:sz w:val="20"/>
        </w:rPr>
        <w:t xml:space="preserve">Exhibit 31.1 </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SECTION 302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Dan Fachner,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I have reviewed this report on Form 10-Q of J &amp; J Snack Foods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         The registrant’s other certifying officers and I are responsible for establishing and maintaining disclosure controls and procedures (as defined in Exchange Act Rules 13a-15(e) and 15d-15(e)) and internal controls and procedures for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         designed such internal controls and procedures for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third fiscal quarter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         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controls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6, 2025</w:t>
      </w:r>
    </w:p>
    <w:p>
      <w:pPr>
        <w:pStyle w:val="TextBody"/>
        <w:bidi w:val="0"/>
        <w:spacing w:before="0" w:after="0"/>
        <w:ind w:left="0" w:right="0" w:hanging="0"/>
        <w:jc w:val="left"/>
        <w:rPr>
          <w:caps w:val="false"/>
          <w:smallCaps w:val="false"/>
        </w:rPr>
      </w:pPr>
      <w:r>
        <w:rPr>
          <w:caps w:val="false"/>
          <w:smallCaps w:val="false"/>
        </w:rPr>
        <w:t> </w:t>
      </w:r>
    </w:p>
    <w:tbl>
      <w:tblPr>
        <w:tblW w:w="4055" w:type="dxa"/>
        <w:jc w:val="left"/>
        <w:tblInd w:w="0" w:type="dxa"/>
        <w:tblLayout w:type="fixed"/>
        <w:tblCellMar>
          <w:top w:w="0" w:type="dxa"/>
          <w:left w:w="0" w:type="dxa"/>
          <w:bottom w:w="0" w:type="dxa"/>
          <w:right w:w="0" w:type="dxa"/>
        </w:tblCellMar>
      </w:tblPr>
      <w:tblGrid>
        <w:gridCol w:w="75"/>
        <w:gridCol w:w="3980"/>
      </w:tblGrid>
      <w:tr>
        <w:trPr/>
        <w:tc>
          <w:tcPr>
            <w:tcW w:w="75"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/s/ Dan Fachner</w:t>
            </w:r>
          </w:p>
        </w:tc>
      </w:tr>
      <w:tr>
        <w:trPr/>
        <w:tc>
          <w:tcPr>
            <w:tcW w:w="75"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Dan Fachner</w:t>
            </w:r>
          </w:p>
        </w:tc>
      </w:tr>
      <w:tr>
        <w:trPr/>
        <w:tc>
          <w:tcPr>
            <w:tcW w:w="75"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President and Chief Executive Officer</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4" w:name="ex_844807.htm"/>
      <w:bookmarkStart w:id="5" w:name="ksex_844807"/>
      <w:bookmarkEnd w:id="4"/>
      <w:bookmarkEnd w:id="5"/>
      <w:r>
        <w:rPr>
          <w:rFonts w:ascii="Times New Roman" w:hAnsi="Times New Roman"/>
          <w:b/>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SECTION 302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Shawn Munsell,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I have reviewed this report on Form 10-Q of J &amp; J Snack Foods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         The registrant’s other certifying officers and I are responsible for establishing and maintaining disclosure controls and procedures (as defined in Exchange Act Rules 13a-15(e) and 15d-15(e)) and internal controls and procedures for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         designed such internal controls and procedures for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third fiscal quarter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         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controls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6, 2025</w:t>
      </w:r>
    </w:p>
    <w:p>
      <w:pPr>
        <w:pStyle w:val="TextBody"/>
        <w:bidi w:val="0"/>
        <w:spacing w:before="0" w:after="0"/>
        <w:ind w:left="0" w:right="0" w:hanging="0"/>
        <w:jc w:val="left"/>
        <w:rPr>
          <w:caps w:val="false"/>
          <w:smallCaps w:val="false"/>
        </w:rPr>
      </w:pPr>
      <w:r>
        <w:rPr>
          <w:caps w:val="false"/>
          <w:smallCaps w:val="false"/>
        </w:rPr>
        <w:t> </w:t>
      </w:r>
    </w:p>
    <w:tbl>
      <w:tblPr>
        <w:tblW w:w="3080" w:type="dxa"/>
        <w:jc w:val="left"/>
        <w:tblInd w:w="0" w:type="dxa"/>
        <w:tblLayout w:type="fixed"/>
        <w:tblCellMar>
          <w:top w:w="0" w:type="dxa"/>
          <w:left w:w="0" w:type="dxa"/>
          <w:bottom w:w="0" w:type="dxa"/>
          <w:right w:w="0" w:type="dxa"/>
        </w:tblCellMar>
      </w:tblPr>
      <w:tblGrid>
        <w:gridCol w:w="60"/>
        <w:gridCol w:w="3020"/>
      </w:tblGrid>
      <w:tr>
        <w:trPr/>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left"/>
              <w:rPr>
                <w:u w:val="single"/>
              </w:rPr>
            </w:pPr>
            <w:r>
              <w:rPr>
                <w:u w:val="single"/>
              </w:rPr>
              <w:t>/s/ Shawn Munsell</w:t>
            </w:r>
          </w:p>
        </w:tc>
      </w:tr>
      <w:tr>
        <w:trPr/>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Shawn Munsell, Senior Vice</w:t>
              <w:br/>
              <w:t>President and Chief Financial Officer</w:t>
            </w:r>
          </w:p>
        </w:tc>
      </w:tr>
      <w:tr>
        <w:trPr/>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left"/>
              <w:rPr/>
            </w:pPr>
            <w:r>
              <w:rPr/>
              <w:t>(Principal Financial Officer)</w:t>
            </w:r>
          </w:p>
        </w:tc>
      </w:tr>
      <w:tr>
        <w:trPr/>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left"/>
              <w:rPr/>
            </w:pPr>
            <w:r>
              <w:rPr/>
              <w:t>(Principal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6" w:name="ex_844808.htm"/>
      <w:bookmarkStart w:id="7" w:name="ksex_844808"/>
      <w:bookmarkEnd w:id="6"/>
      <w:bookmarkEnd w:id="7"/>
      <w:r>
        <w:rPr>
          <w:rFonts w:ascii="Times New Roman" w:hAnsi="Times New Roman"/>
          <w:b/>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18 U.S.C. SECTION 1350,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Section 906 of the Sarbanes-Oxley Act of 2002 (Section 1350 of Chapter 63 of Title 18 of the United States Code), each of the undersigned officers of J &amp; J Snack Foods Corp. (the “Company”), does hereby certify with respect to the Quarterly Report of the Company on Form 10-Q for the quarter ended June 28, 2025 (the “Report”)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080"/>
        <w:jc w:val="left"/>
        <w:rPr>
          <w:rFonts w:ascii="Times New Roman" w:hAnsi="Times New Roman"/>
          <w:caps w:val="false"/>
          <w:smallCaps w:val="false"/>
          <w:sz w:val="20"/>
        </w:rPr>
      </w:pPr>
      <w:r>
        <w:rPr>
          <w:rFonts w:ascii="Times New Roman" w:hAnsi="Times New Roman"/>
          <w:caps w:val="false"/>
          <w:smallCaps w:val="false"/>
          <w:sz w:val="20"/>
        </w:rPr>
        <w:t>(1)  The Report fully complies with the requirements of Section 13(a) or 15(d) of the Securities Exchange Act of 1934;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080"/>
        <w:jc w:val="left"/>
        <w:rPr>
          <w:rFonts w:ascii="Times New Roman" w:hAnsi="Times New Roman"/>
          <w:caps w:val="false"/>
          <w:smallCaps w:val="false"/>
          <w:sz w:val="20"/>
        </w:rPr>
      </w:pPr>
      <w:r>
        <w:rPr>
          <w:rFonts w:ascii="Times New Roman" w:hAnsi="Times New Roman"/>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Dated:    August 6, 2025</w:t>
      </w:r>
    </w:p>
    <w:p>
      <w:pPr>
        <w:pStyle w:val="TextBody"/>
        <w:bidi w:val="0"/>
        <w:spacing w:before="0" w:after="0"/>
        <w:ind w:left="0" w:right="0" w:hanging="0"/>
        <w:jc w:val="left"/>
        <w:rPr>
          <w:caps w:val="false"/>
          <w:smallCaps w:val="false"/>
        </w:rPr>
      </w:pPr>
      <w:r>
        <w:rPr>
          <w:caps w:val="false"/>
          <w:smallCaps w:val="false"/>
        </w:rPr>
        <w:t> </w:t>
      </w:r>
    </w:p>
    <w:tbl>
      <w:tblPr>
        <w:tblW w:w="4055" w:type="dxa"/>
        <w:jc w:val="left"/>
        <w:tblInd w:w="0" w:type="dxa"/>
        <w:tblLayout w:type="fixed"/>
        <w:tblCellMar>
          <w:top w:w="0" w:type="dxa"/>
          <w:left w:w="0" w:type="dxa"/>
          <w:bottom w:w="0" w:type="dxa"/>
          <w:right w:w="0" w:type="dxa"/>
        </w:tblCellMar>
      </w:tblPr>
      <w:tblGrid>
        <w:gridCol w:w="75"/>
        <w:gridCol w:w="3980"/>
      </w:tblGrid>
      <w:tr>
        <w:trPr/>
        <w:tc>
          <w:tcPr>
            <w:tcW w:w="75"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/s/ Dan Fachner</w:t>
            </w:r>
          </w:p>
        </w:tc>
      </w:tr>
      <w:tr>
        <w:trPr/>
        <w:tc>
          <w:tcPr>
            <w:tcW w:w="75"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Dan Fachner</w:t>
            </w:r>
          </w:p>
        </w:tc>
      </w:tr>
      <w:tr>
        <w:trPr/>
        <w:tc>
          <w:tcPr>
            <w:tcW w:w="75"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President and Chief Executive Officer</w:t>
            </w:r>
          </w:p>
        </w:tc>
      </w:tr>
      <w:tr>
        <w:trPr/>
        <w:tc>
          <w:tcPr>
            <w:tcW w:w="75"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8" w:name="ex_844809.htm"/>
      <w:bookmarkStart w:id="9" w:name="ksex_844809"/>
      <w:bookmarkEnd w:id="8"/>
      <w:bookmarkEnd w:id="9"/>
      <w:r>
        <w:rPr>
          <w:rFonts w:ascii="Times New Roman" w:hAnsi="Times New Roman"/>
          <w:b/>
          <w:caps w:val="false"/>
          <w:smallCaps w:val="false"/>
          <w:sz w:val="20"/>
        </w:rPr>
        <w:t>Exhibit 32.2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18 U.S.C. SECTION 1350,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Section 906 of the Sarbanes-Oxley Act of 2002 (Section 1350 of Chapter 63 of Title 18 of the United States Code), each of the undersigned officers of J &amp; J Snack Foods Corp. (the “Company”), does hereby certify with respect to the Quarterly Report of the Company on Form 10-Q for the quarter ended June 28, 2025 (the “Report”)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080"/>
        <w:jc w:val="left"/>
        <w:rPr>
          <w:rFonts w:ascii="Times New Roman" w:hAnsi="Times New Roman"/>
          <w:caps w:val="false"/>
          <w:smallCaps w:val="false"/>
          <w:sz w:val="20"/>
        </w:rPr>
      </w:pPr>
      <w:r>
        <w:rPr>
          <w:rFonts w:ascii="Times New Roman" w:hAnsi="Times New Roman"/>
          <w:caps w:val="false"/>
          <w:smallCaps w:val="false"/>
          <w:sz w:val="20"/>
        </w:rPr>
        <w:t>(1)  The Report fully complies with the requirements of Section 13(a) or 15(d) of the Securities Exchange Act of 1934;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080"/>
        <w:jc w:val="left"/>
        <w:rPr>
          <w:rFonts w:ascii="Times New Roman" w:hAnsi="Times New Roman"/>
          <w:caps w:val="false"/>
          <w:smallCaps w:val="false"/>
          <w:sz w:val="20"/>
        </w:rPr>
      </w:pPr>
      <w:r>
        <w:rPr>
          <w:rFonts w:ascii="Times New Roman" w:hAnsi="Times New Roman"/>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Dated:    August 6, 2025</w:t>
      </w:r>
    </w:p>
    <w:p>
      <w:pPr>
        <w:pStyle w:val="TextBody"/>
        <w:bidi w:val="0"/>
        <w:spacing w:before="0" w:after="0"/>
        <w:ind w:left="0" w:right="0" w:hanging="0"/>
        <w:jc w:val="left"/>
        <w:rPr>
          <w:caps w:val="false"/>
          <w:smallCaps w:val="false"/>
        </w:rPr>
      </w:pPr>
      <w:r>
        <w:rPr>
          <w:caps w:val="false"/>
          <w:smallCaps w:val="false"/>
        </w:rPr>
        <w:t> </w:t>
      </w:r>
    </w:p>
    <w:tbl>
      <w:tblPr>
        <w:tblW w:w="3080" w:type="dxa"/>
        <w:jc w:val="left"/>
        <w:tblInd w:w="0" w:type="dxa"/>
        <w:tblLayout w:type="fixed"/>
        <w:tblCellMar>
          <w:top w:w="0" w:type="dxa"/>
          <w:left w:w="0" w:type="dxa"/>
          <w:bottom w:w="0" w:type="dxa"/>
          <w:right w:w="0" w:type="dxa"/>
        </w:tblCellMar>
      </w:tblPr>
      <w:tblGrid>
        <w:gridCol w:w="60"/>
        <w:gridCol w:w="3020"/>
      </w:tblGrid>
      <w:tr>
        <w:trPr/>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left"/>
              <w:rPr>
                <w:u w:val="single"/>
              </w:rPr>
            </w:pPr>
            <w:r>
              <w:rPr>
                <w:u w:val="single"/>
              </w:rPr>
              <w:t>/s/ Shawn Munsell</w:t>
            </w:r>
          </w:p>
        </w:tc>
      </w:tr>
      <w:tr>
        <w:trPr/>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Shawn Munsell, Senior Vice</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and Chief Financial Officer</w:t>
            </w:r>
          </w:p>
        </w:tc>
      </w:tr>
      <w:tr>
        <w:trPr/>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left"/>
              <w:rPr/>
            </w:pPr>
            <w:r>
              <w:rPr/>
              <w:t>(Principal Financial Officer)</w:t>
            </w:r>
          </w:p>
        </w:tc>
      </w:tr>
      <w:tr>
        <w:trPr/>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left"/>
              <w:rPr/>
            </w:pPr>
            <w:r>
              <w:rPr/>
              <w:t>(Principal Accounting Officer)</w:t>
            </w:r>
          </w:p>
        </w:tc>
      </w:tr>
    </w:tbl>
    <w:p>
      <w:pPr>
        <w:pStyle w:val="TextBody"/>
        <w:bidi w:val="0"/>
        <w:spacing w:before="0" w:after="0"/>
        <w:ind w:left="2160" w:right="0" w:firstLine="72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17679</Words>
  <Characters>94455</Characters>
  <CharactersWithSpaces>116426</CharactersWithSpaces>
  <Paragraphs>10213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