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23"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0" w:lineRule="exact"/>
        <w:rPr>
          <w:sz w:val="24"/>
          <w:szCs w:val="24"/>
          <w:color w:val="auto"/>
        </w:rPr>
      </w:pPr>
    </w:p>
    <w:p>
      <w:pPr>
        <w:spacing w:after="0" w:line="208"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22"/>
          <w:szCs w:val="22"/>
          <w:b w:val="1"/>
          <w:bCs w:val="1"/>
          <w:color w:val="auto"/>
        </w:rPr>
        <w:t>FORM 11-K</w:t>
      </w:r>
    </w:p>
    <w:p>
      <w:pPr>
        <w:spacing w:after="0" w:line="200" w:lineRule="exact"/>
        <w:rPr>
          <w:sz w:val="24"/>
          <w:szCs w:val="24"/>
          <w:color w:val="auto"/>
        </w:rPr>
      </w:pPr>
    </w:p>
    <w:p>
      <w:pPr>
        <w:spacing w:after="0" w:line="236" w:lineRule="exact"/>
        <w:rPr>
          <w:sz w:val="24"/>
          <w:szCs w:val="24"/>
          <w:color w:val="auto"/>
        </w:rPr>
      </w:pPr>
    </w:p>
    <w:p>
      <w:pPr>
        <w:ind w:left="3640" w:right="1459" w:hanging="1081"/>
        <w:spacing w:after="0" w:line="262" w:lineRule="auto"/>
        <w:tabs>
          <w:tab w:leader="none" w:pos="2798"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ANNUAL REPORT PURSUANT TO SECTION 15(d) OF THE SECURITIES EXCHANGE ACT OF 1934</w:t>
      </w:r>
    </w:p>
    <w:p>
      <w:pPr>
        <w:spacing w:after="0" w:line="16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For the Fiscal Year ended December 31, 2025</w:t>
      </w:r>
    </w:p>
    <w:p>
      <w:pPr>
        <w:spacing w:after="0" w:line="221" w:lineRule="exact"/>
        <w:rPr>
          <w:sz w:val="24"/>
          <w:szCs w:val="24"/>
          <w:color w:val="auto"/>
        </w:rPr>
      </w:pPr>
    </w:p>
    <w:p>
      <w:pPr>
        <w:ind w:left="548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9" w:lineRule="exact"/>
        <w:rPr>
          <w:sz w:val="24"/>
          <w:szCs w:val="24"/>
          <w:color w:val="auto"/>
        </w:rPr>
      </w:pPr>
    </w:p>
    <w:p>
      <w:pPr>
        <w:ind w:left="3380" w:right="1479" w:hanging="788"/>
        <w:spacing w:after="0" w:line="262" w:lineRule="auto"/>
        <w:tabs>
          <w:tab w:leader="none" w:pos="2826"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15(d) OF THE SECURITIES EXCHANGE ACT OF 1934</w:t>
      </w:r>
    </w:p>
    <w:p>
      <w:pPr>
        <w:spacing w:after="0" w:line="163"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8"/>
          <w:szCs w:val="18"/>
          <w:color w:val="auto"/>
        </w:rPr>
        <w:t>For the transition period from __________ to __________</w:t>
      </w:r>
    </w:p>
    <w:p>
      <w:pPr>
        <w:spacing w:after="0" w:line="225"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u w:val="single" w:color="auto"/>
          <w:color w:val="auto"/>
        </w:rPr>
        <w:t>0-14616</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 Full title of the plan and the address of the plan, if different from that of the issuer named below:</w:t>
      </w:r>
    </w:p>
    <w:p>
      <w:pPr>
        <w:spacing w:after="0" w:line="221"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J &amp; J Snack Foods Corp. 401(k) Profit Sharing Plan</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B. Name of issuer of the securities held pursuant to the plan and the address of its principal executive office:</w:t>
      </w:r>
    </w:p>
    <w:p>
      <w:pPr>
        <w:spacing w:after="0" w:line="200" w:lineRule="exact"/>
        <w:rPr>
          <w:sz w:val="24"/>
          <w:szCs w:val="24"/>
          <w:color w:val="auto"/>
        </w:rPr>
      </w:pP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J &amp; J Snack Foods Corp.</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350 Fellowship Rd</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Mt. Laurel, NJ 08054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640080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7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Financial Statements and Report of Independent Registered Public Accounting Firm</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J&amp;J Snack Foods Corp. 401(k) Profit Sharing Plan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640080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823"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0780" w:type="dxa"/>
            <w:vAlign w:val="bottom"/>
          </w:tcPr>
          <w:p>
            <w:pPr>
              <w:ind w:left="5000"/>
              <w:spacing w:after="0"/>
              <w:rPr>
                <w:sz w:val="20"/>
                <w:szCs w:val="20"/>
                <w:color w:val="auto"/>
              </w:rPr>
            </w:pPr>
            <w:r>
              <w:rPr>
                <w:rFonts w:ascii="Times New Roman" w:cs="Times New Roman" w:eastAsia="Times New Roman" w:hAnsi="Times New Roman"/>
                <w:sz w:val="18"/>
                <w:szCs w:val="18"/>
                <w:color w:val="auto"/>
              </w:rPr>
              <w:t>C O N T E N T S</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23"/>
        </w:trPr>
        <w:tc>
          <w:tcPr>
            <w:tcW w:w="10780" w:type="dxa"/>
            <w:vAlign w:val="bottom"/>
          </w:tcPr>
          <w:p>
            <w:pPr>
              <w:spacing w:after="0"/>
              <w:rPr>
                <w:sz w:val="24"/>
                <w:szCs w:val="24"/>
                <w:color w:val="auto"/>
              </w:rPr>
            </w:pPr>
          </w:p>
        </w:tc>
        <w:tc>
          <w:tcPr>
            <w:tcW w:w="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37"/>
        </w:trPr>
        <w:tc>
          <w:tcPr>
            <w:tcW w:w="107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STATEMENTS OF NET ASSETS AVAILABLE FOR BENEFITS AS OF DECEMBER 31, 2025 AND 2024</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STATEMENT OF CHANGES IN NET ASSETS AVAILABLE FOR BENEFITS FOR THE YEAR ENDED DECEMBER 31, 2025</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NOTES TO FINANCIAL STATEMENTS</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INFORMATION</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Schedule H, LINE 4i - SCHEDULE OF ASSETS (HELD AT END OF YEAR) AS OF DECEMBER 31, 2025</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INDEX</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SIGNATURE</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74"/>
        </w:trPr>
        <w:tc>
          <w:tcPr>
            <w:tcW w:w="107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Administrator and Plan Participants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 &amp; J Snack Foods Corp. 401(k) Profit Sharing Plan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3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We have audited the accompanying statements of net assets available for benefits of J &amp; J Snack Foods Corp. 401(k) Profit Sharing Plan (the “Plan”) as of December 31, 2025 and 2024, the related statement of changes in net assets available for benefits for the year ended December 31, 2025, and the related notes (collectively referred to as the “financial statements”). In our opinion, the financial statements present fairly, in all material respects, the net assets available for benefits of the Plan as of December 31, 2025 and 2024, and the changes in net assets available for benefits for the year ended December 31, 2025 in conformity with accounting principles generally accepted in the United States of America.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1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information</w:t>
      </w:r>
    </w:p>
    <w:p>
      <w:pPr>
        <w:spacing w:after="0" w:line="31"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The supplemental information in the accompanying schedule assets (held at end of year) as of December 31, 2025 (“supplemental information”) has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Plan’s auditor since 1992.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23, 2026</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46" w:right="3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J &amp; J Snack Foods Corp. 401(k) Profit Sharing Plan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NET ASSETS AVAILABLE FOR BENEFITS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2025 and 2024</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tcBorders>
              <w:bottom w:val="single" w:sz="8" w:color="CCEEFF"/>
            </w:tcBorders>
          </w:tcPr>
          <w:p>
            <w:pPr>
              <w:spacing w:after="0"/>
              <w:rPr>
                <w:sz w:val="20"/>
                <w:szCs w:val="20"/>
                <w:color w:val="auto"/>
              </w:rPr>
            </w:pPr>
          </w:p>
        </w:tc>
        <w:tc>
          <w:tcPr>
            <w:tcW w:w="28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32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164,259,013</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158,234,086</w:t>
            </w:r>
          </w:p>
        </w:tc>
        <w:tc>
          <w:tcPr>
            <w:tcW w:w="0" w:type="dxa"/>
            <w:vAlign w:val="bottom"/>
          </w:tcPr>
          <w:p>
            <w:pPr>
              <w:spacing w:after="0"/>
              <w:rPr>
                <w:sz w:val="1"/>
                <w:szCs w:val="1"/>
                <w:color w:val="auto"/>
              </w:rPr>
            </w:pPr>
          </w:p>
        </w:tc>
      </w:tr>
      <w:tr>
        <w:trPr>
          <w:trHeight w:val="229"/>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Investments, at contract value</w:t>
            </w:r>
          </w:p>
        </w:tc>
        <w:tc>
          <w:tcPr>
            <w:tcW w:w="2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10,817,790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12,939,526</w:t>
            </w:r>
          </w:p>
        </w:tc>
        <w:tc>
          <w:tcPr>
            <w:tcW w:w="0" w:type="dxa"/>
            <w:vAlign w:val="bottom"/>
          </w:tcPr>
          <w:p>
            <w:pPr>
              <w:spacing w:after="0"/>
              <w:rPr>
                <w:sz w:val="1"/>
                <w:szCs w:val="1"/>
                <w:color w:val="auto"/>
              </w:rPr>
            </w:pPr>
          </w:p>
        </w:tc>
      </w:tr>
      <w:tr>
        <w:trPr>
          <w:trHeight w:val="209"/>
        </w:trPr>
        <w:tc>
          <w:tcPr>
            <w:tcW w:w="5120" w:type="dxa"/>
            <w:vAlign w:val="bottom"/>
            <w:tcBorders>
              <w:top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Investments</w:t>
            </w:r>
          </w:p>
        </w:tc>
        <w:tc>
          <w:tcPr>
            <w:tcW w:w="28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175,076,803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171,173,612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w:t>
            </w:r>
          </w:p>
        </w:tc>
        <w:tc>
          <w:tcPr>
            <w:tcW w:w="2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2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5,349,058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4,857,261</w:t>
            </w:r>
          </w:p>
        </w:tc>
        <w:tc>
          <w:tcPr>
            <w:tcW w:w="0" w:type="dxa"/>
            <w:vAlign w:val="bottom"/>
          </w:tcPr>
          <w:p>
            <w:pPr>
              <w:spacing w:after="0"/>
              <w:rPr>
                <w:sz w:val="1"/>
                <w:szCs w:val="1"/>
                <w:color w:val="auto"/>
              </w:rPr>
            </w:pPr>
          </w:p>
        </w:tc>
      </w:tr>
      <w:tr>
        <w:trPr>
          <w:trHeight w:val="209"/>
        </w:trPr>
        <w:tc>
          <w:tcPr>
            <w:tcW w:w="5120" w:type="dxa"/>
            <w:vAlign w:val="bottom"/>
            <w:tcBorders>
              <w:top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Receivables</w:t>
            </w:r>
          </w:p>
        </w:tc>
        <w:tc>
          <w:tcPr>
            <w:tcW w:w="28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5,349,058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4,857,261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32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180,425,861</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176,030,873</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tc>
        <w:tc>
          <w:tcPr>
            <w:tcW w:w="28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120" w:type="dxa"/>
            <w:vAlign w:val="bottom"/>
            <w:vMerge w:val="continue"/>
          </w:tcPr>
          <w:p>
            <w:pPr>
              <w:spacing w:after="0"/>
              <w:rPr>
                <w:sz w:val="24"/>
                <w:szCs w:val="24"/>
                <w:color w:val="auto"/>
              </w:rPr>
            </w:pPr>
          </w:p>
        </w:tc>
        <w:tc>
          <w:tcPr>
            <w:tcW w:w="2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120" w:type="dxa"/>
            <w:vAlign w:val="bottom"/>
          </w:tcPr>
          <w:p>
            <w:pPr>
              <w:spacing w:after="0"/>
              <w:rPr>
                <w:sz w:val="24"/>
                <w:szCs w:val="24"/>
                <w:color w:val="auto"/>
              </w:rPr>
            </w:pPr>
          </w:p>
        </w:tc>
        <w:tc>
          <w:tcPr>
            <w:tcW w:w="2880" w:type="dxa"/>
            <w:vAlign w:val="bottom"/>
          </w:tcPr>
          <w:p>
            <w:pPr>
              <w:jc w:val="right"/>
              <w:ind w:right="2250"/>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20" w:type="dxa"/>
            <w:vAlign w:val="bottom"/>
            <w:tcBorders>
              <w:bottom w:val="single" w:sz="8" w:color="auto"/>
            </w:tcBorders>
          </w:tcPr>
          <w:p>
            <w:pPr>
              <w:spacing w:after="0"/>
              <w:rPr>
                <w:sz w:val="10"/>
                <w:szCs w:val="10"/>
                <w:color w:val="auto"/>
              </w:rPr>
            </w:pPr>
          </w:p>
        </w:tc>
        <w:tc>
          <w:tcPr>
            <w:tcW w:w="28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19" w:right="339" w:bottom="1440" w:gutter="0" w:footer="0" w:header="0"/>
        </w:sectPr>
      </w:pPr>
    </w:p>
    <w:bookmarkStart w:id="5" w:name="page6"/>
    <w:bookmarkEnd w:id="5"/>
    <w:p>
      <w:pPr>
        <w:jc w:val="center"/>
        <w:ind w:left="340" w:right="2540"/>
        <w:spacing w:after="0" w:line="268" w:lineRule="auto"/>
        <w:rPr>
          <w:sz w:val="20"/>
          <w:szCs w:val="20"/>
          <w:color w:val="auto"/>
        </w:rPr>
      </w:pPr>
      <w:r>
        <w:rPr>
          <w:rFonts w:ascii="Times New Roman" w:cs="Times New Roman" w:eastAsia="Times New Roman" w:hAnsi="Times New Roman"/>
          <w:sz w:val="18"/>
          <w:szCs w:val="18"/>
          <w:b w:val="1"/>
          <w:bCs w:val="1"/>
          <w:color w:val="auto"/>
        </w:rPr>
        <w:t>J &amp; J Snack Foods Corp. 401(k) Profit Sharing Plan STATEMENT OF CHANGES IN NET ASSETS AVAILABLE FOR BENEFITS Year ended December 31, 2025</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2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 to net assets attributed to</w:t>
            </w:r>
          </w:p>
        </w:tc>
        <w:tc>
          <w:tcPr>
            <w:tcW w:w="2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income</w:t>
            </w:r>
          </w:p>
        </w:tc>
        <w:tc>
          <w:tcPr>
            <w:tcW w:w="2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appreciation in fair value of investments</w:t>
            </w:r>
          </w:p>
        </w:tc>
        <w:tc>
          <w:tcPr>
            <w:tcW w:w="3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11,674,308</w:t>
            </w:r>
          </w:p>
        </w:tc>
      </w:tr>
      <w:tr>
        <w:trPr>
          <w:trHeight w:val="230"/>
        </w:trPr>
        <w:tc>
          <w:tcPr>
            <w:tcW w:w="68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28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4,681,505</w:t>
            </w:r>
          </w:p>
        </w:tc>
      </w:tr>
      <w:tr>
        <w:trPr>
          <w:trHeight w:val="209"/>
        </w:trPr>
        <w:tc>
          <w:tcPr>
            <w:tcW w:w="684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investment income</w:t>
            </w:r>
          </w:p>
        </w:tc>
        <w:tc>
          <w:tcPr>
            <w:tcW w:w="284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16,355,813</w:t>
            </w:r>
          </w:p>
        </w:tc>
        <w:tc>
          <w:tcPr>
            <w:tcW w:w="100" w:type="dxa"/>
            <w:vAlign w:val="bottom"/>
            <w:tcBorders>
              <w:bottom w:val="single" w:sz="8" w:color="CCEEFF"/>
            </w:tcBorders>
          </w:tcPr>
          <w:p>
            <w:pPr>
              <w:spacing w:after="0"/>
              <w:rPr>
                <w:sz w:val="18"/>
                <w:szCs w:val="18"/>
                <w:color w:val="auto"/>
              </w:rPr>
            </w:pPr>
          </w:p>
        </w:tc>
      </w:tr>
      <w:tr>
        <w:trPr>
          <w:trHeight w:val="209"/>
        </w:trPr>
        <w:tc>
          <w:tcPr>
            <w:tcW w:w="684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 on notes receivable from participants</w:t>
            </w:r>
          </w:p>
        </w:tc>
        <w:tc>
          <w:tcPr>
            <w:tcW w:w="2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410,896</w:t>
            </w:r>
          </w:p>
        </w:tc>
      </w:tr>
      <w:tr>
        <w:trPr>
          <w:trHeight w:val="216"/>
        </w:trPr>
        <w:tc>
          <w:tcPr>
            <w:tcW w:w="684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Contributions</w:t>
            </w:r>
          </w:p>
        </w:tc>
        <w:tc>
          <w:tcPr>
            <w:tcW w:w="2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Employer, net of forfeitures</w:t>
            </w:r>
          </w:p>
        </w:tc>
        <w:tc>
          <w:tcPr>
            <w:tcW w:w="2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2,999,851</w:t>
            </w:r>
          </w:p>
        </w:tc>
      </w:tr>
      <w:tr>
        <w:trPr>
          <w:trHeight w:val="216"/>
        </w:trPr>
        <w:tc>
          <w:tcPr>
            <w:tcW w:w="6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Participants</w:t>
            </w:r>
          </w:p>
        </w:tc>
        <w:tc>
          <w:tcPr>
            <w:tcW w:w="2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8,411,101</w:t>
            </w:r>
          </w:p>
        </w:tc>
      </w:tr>
      <w:tr>
        <w:trPr>
          <w:trHeight w:val="230"/>
        </w:trPr>
        <w:tc>
          <w:tcPr>
            <w:tcW w:w="6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Participant rollovers</w:t>
            </w:r>
          </w:p>
        </w:tc>
        <w:tc>
          <w:tcPr>
            <w:tcW w:w="28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660,491</w:t>
            </w:r>
          </w:p>
        </w:tc>
      </w:tr>
      <w:tr>
        <w:trPr>
          <w:trHeight w:val="209"/>
        </w:trPr>
        <w:tc>
          <w:tcPr>
            <w:tcW w:w="68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68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contributions</w:t>
            </w:r>
          </w:p>
        </w:tc>
        <w:tc>
          <w:tcPr>
            <w:tcW w:w="28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12,071,443</w:t>
            </w:r>
          </w:p>
        </w:tc>
      </w:tr>
      <w:tr>
        <w:trPr>
          <w:trHeight w:val="210"/>
        </w:trPr>
        <w:tc>
          <w:tcPr>
            <w:tcW w:w="68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68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additions</w:t>
            </w:r>
          </w:p>
        </w:tc>
        <w:tc>
          <w:tcPr>
            <w:tcW w:w="28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28,838,152</w:t>
            </w:r>
          </w:p>
        </w:tc>
      </w:tr>
      <w:tr>
        <w:trPr>
          <w:trHeight w:val="210"/>
        </w:trPr>
        <w:tc>
          <w:tcPr>
            <w:tcW w:w="68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Deductions</w:t>
            </w:r>
          </w:p>
        </w:tc>
        <w:tc>
          <w:tcPr>
            <w:tcW w:w="2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Deductions from net assets attributed to</w:t>
            </w:r>
          </w:p>
        </w:tc>
        <w:tc>
          <w:tcPr>
            <w:tcW w:w="2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Benefits paid to participants</w:t>
            </w:r>
          </w:p>
        </w:tc>
        <w:tc>
          <w:tcPr>
            <w:tcW w:w="2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(24,191,834)</w:t>
            </w:r>
          </w:p>
        </w:tc>
      </w:tr>
      <w:tr>
        <w:trPr>
          <w:trHeight w:val="230"/>
        </w:trPr>
        <w:tc>
          <w:tcPr>
            <w:tcW w:w="6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Administrative expenses</w:t>
            </w:r>
          </w:p>
        </w:tc>
        <w:tc>
          <w:tcPr>
            <w:tcW w:w="28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(251,330)</w:t>
            </w:r>
          </w:p>
        </w:tc>
      </w:tr>
      <w:tr>
        <w:trPr>
          <w:trHeight w:val="210"/>
        </w:trPr>
        <w:tc>
          <w:tcPr>
            <w:tcW w:w="68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8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deductions</w:t>
            </w:r>
          </w:p>
        </w:tc>
        <w:tc>
          <w:tcPr>
            <w:tcW w:w="28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(24,443,164)</w:t>
            </w:r>
          </w:p>
        </w:tc>
      </w:tr>
      <w:tr>
        <w:trPr>
          <w:trHeight w:val="210"/>
        </w:trPr>
        <w:tc>
          <w:tcPr>
            <w:tcW w:w="68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NET ASSETS AVAILABLE FOR BENEFITS</w:t>
            </w:r>
          </w:p>
        </w:tc>
        <w:tc>
          <w:tcPr>
            <w:tcW w:w="4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4,394,988</w:t>
            </w:r>
          </w:p>
        </w:tc>
        <w:tc>
          <w:tcPr>
            <w:tcW w:w="0" w:type="dxa"/>
            <w:vAlign w:val="bottom"/>
          </w:tcPr>
          <w:p>
            <w:pPr>
              <w:spacing w:after="0"/>
              <w:rPr>
                <w:sz w:val="1"/>
                <w:szCs w:val="1"/>
                <w:color w:val="auto"/>
              </w:rPr>
            </w:pPr>
          </w:p>
        </w:tc>
      </w:tr>
      <w:tr>
        <w:trPr>
          <w:trHeight w:val="210"/>
        </w:trPr>
        <w:tc>
          <w:tcPr>
            <w:tcW w:w="5240" w:type="dxa"/>
            <w:vAlign w:val="bottom"/>
            <w:tcBorders>
              <w:top w:val="single" w:sz="8" w:color="CCEEFF"/>
            </w:tcBorders>
            <w:shd w:val="clear" w:color="auto" w:fill="CCEEFF"/>
          </w:tcPr>
          <w:p>
            <w:pPr>
              <w:spacing w:after="0"/>
              <w:rPr>
                <w:sz w:val="18"/>
                <w:szCs w:val="18"/>
                <w:color w:val="auto"/>
              </w:rPr>
            </w:pPr>
          </w:p>
        </w:tc>
        <w:tc>
          <w:tcPr>
            <w:tcW w:w="44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4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Beginning of year</w:t>
            </w:r>
          </w:p>
        </w:tc>
        <w:tc>
          <w:tcPr>
            <w:tcW w:w="4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176,030,873</w:t>
            </w:r>
          </w:p>
        </w:tc>
        <w:tc>
          <w:tcPr>
            <w:tcW w:w="0" w:type="dxa"/>
            <w:vAlign w:val="bottom"/>
          </w:tcPr>
          <w:p>
            <w:pPr>
              <w:spacing w:after="0"/>
              <w:rPr>
                <w:sz w:val="1"/>
                <w:szCs w:val="1"/>
                <w:color w:val="auto"/>
              </w:rPr>
            </w:pPr>
          </w:p>
        </w:tc>
      </w:tr>
      <w:tr>
        <w:trPr>
          <w:trHeight w:val="210"/>
        </w:trPr>
        <w:tc>
          <w:tcPr>
            <w:tcW w:w="524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End of year</w:t>
            </w:r>
          </w:p>
        </w:tc>
        <w:tc>
          <w:tcPr>
            <w:tcW w:w="4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180,425,861</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this statement.</w:t>
            </w:r>
          </w:p>
        </w:tc>
        <w:tc>
          <w:tcPr>
            <w:tcW w:w="4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40" w:type="dxa"/>
            <w:vAlign w:val="bottom"/>
            <w:vMerge w:val="continue"/>
          </w:tcPr>
          <w:p>
            <w:pPr>
              <w:spacing w:after="0"/>
              <w:rPr>
                <w:sz w:val="24"/>
                <w:szCs w:val="24"/>
                <w:color w:val="auto"/>
              </w:rPr>
            </w:pPr>
          </w:p>
        </w:tc>
        <w:tc>
          <w:tcPr>
            <w:tcW w:w="4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40" w:type="dxa"/>
            <w:vAlign w:val="bottom"/>
          </w:tcPr>
          <w:p>
            <w:pPr>
              <w:spacing w:after="0"/>
              <w:rPr>
                <w:sz w:val="24"/>
                <w:szCs w:val="24"/>
                <w:color w:val="auto"/>
              </w:rPr>
            </w:pPr>
          </w:p>
        </w:tc>
        <w:tc>
          <w:tcPr>
            <w:tcW w:w="4440" w:type="dxa"/>
            <w:vAlign w:val="bottom"/>
          </w:tcPr>
          <w:p>
            <w:pPr>
              <w:jc w:val="right"/>
              <w:ind w:right="3930"/>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40" w:type="dxa"/>
            <w:vAlign w:val="bottom"/>
            <w:tcBorders>
              <w:bottom w:val="single" w:sz="8" w:color="auto"/>
            </w:tcBorders>
          </w:tcPr>
          <w:p>
            <w:pPr>
              <w:spacing w:after="0"/>
              <w:rPr>
                <w:sz w:val="10"/>
                <w:szCs w:val="10"/>
                <w:color w:val="auto"/>
              </w:rPr>
            </w:pPr>
          </w:p>
        </w:tc>
        <w:tc>
          <w:tcPr>
            <w:tcW w:w="44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19"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J &amp; J Snack Foods Corp. 401(k) Profit Sharing Plan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A - DESCRIPTION OF THE PLAN</w:t>
      </w:r>
    </w:p>
    <w:p>
      <w:pPr>
        <w:spacing w:after="0" w:line="225" w:lineRule="exact"/>
        <w:rPr>
          <w:sz w:val="20"/>
          <w:szCs w:val="20"/>
          <w:color w:val="auto"/>
        </w:rPr>
      </w:pPr>
    </w:p>
    <w:p>
      <w:pPr>
        <w:ind w:left="180"/>
        <w:spacing w:after="0" w:line="282" w:lineRule="auto"/>
        <w:rPr>
          <w:sz w:val="20"/>
          <w:szCs w:val="20"/>
          <w:color w:val="auto"/>
        </w:rPr>
      </w:pPr>
      <w:r>
        <w:rPr>
          <w:rFonts w:ascii="Times New Roman" w:cs="Times New Roman" w:eastAsia="Times New Roman" w:hAnsi="Times New Roman"/>
          <w:sz w:val="18"/>
          <w:szCs w:val="18"/>
          <w:color w:val="auto"/>
        </w:rPr>
        <w:t>The following description of J &amp; J Snack Foods Corp. 401(k) Profit Sharing Plan (the Plan) provides only general information. Participants should refer to the Plan agreement for a more complete description of the Plan’s provisions.</w:t>
      </w:r>
    </w:p>
    <w:p>
      <w:pPr>
        <w:spacing w:after="0" w:line="162" w:lineRule="exact"/>
        <w:rPr>
          <w:sz w:val="20"/>
          <w:szCs w:val="20"/>
          <w:color w:val="auto"/>
        </w:rPr>
      </w:pPr>
    </w:p>
    <w:p>
      <w:pPr>
        <w:ind w:left="360" w:hanging="190"/>
        <w:spacing w:after="0"/>
        <w:tabs>
          <w:tab w:leader="none" w:pos="3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p>
    <w:p>
      <w:pPr>
        <w:spacing w:after="0" w:line="27" w:lineRule="exact"/>
        <w:rPr>
          <w:sz w:val="20"/>
          <w:szCs w:val="20"/>
          <w:color w:val="auto"/>
        </w:rPr>
      </w:pPr>
    </w:p>
    <w:p>
      <w:pPr>
        <w:ind w:left="180" w:right="20"/>
        <w:spacing w:after="0" w:line="260" w:lineRule="auto"/>
        <w:rPr>
          <w:sz w:val="20"/>
          <w:szCs w:val="20"/>
          <w:color w:val="auto"/>
        </w:rPr>
      </w:pPr>
      <w:r>
        <w:rPr>
          <w:rFonts w:ascii="Times New Roman" w:cs="Times New Roman" w:eastAsia="Times New Roman" w:hAnsi="Times New Roman"/>
          <w:sz w:val="18"/>
          <w:szCs w:val="18"/>
          <w:color w:val="auto"/>
        </w:rPr>
        <w:t>The Plan is a defined contribution plan covering all employees of J &amp; J Snack Foods Corp. (the Company) who have one month of service and are age 21 or older. It is subject to the provisions of the Employee Retirement Income Security Act of 1974, as amended (“ERISA”).</w:t>
      </w:r>
    </w:p>
    <w:p>
      <w:pPr>
        <w:spacing w:after="0" w:line="181" w:lineRule="exact"/>
        <w:rPr>
          <w:sz w:val="20"/>
          <w:szCs w:val="20"/>
          <w:color w:val="auto"/>
        </w:rPr>
      </w:pPr>
    </w:p>
    <w:p>
      <w:pPr>
        <w:ind w:left="360" w:hanging="190"/>
        <w:spacing w:after="0"/>
        <w:tabs>
          <w:tab w:leader="none" w:pos="3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Contributions</w:t>
      </w:r>
    </w:p>
    <w:p>
      <w:pPr>
        <w:spacing w:after="0" w:line="27" w:lineRule="exact"/>
        <w:rPr>
          <w:sz w:val="20"/>
          <w:szCs w:val="20"/>
          <w:color w:val="auto"/>
        </w:rPr>
      </w:pPr>
    </w:p>
    <w:p>
      <w:pPr>
        <w:jc w:val="both"/>
        <w:ind w:left="180"/>
        <w:spacing w:after="0" w:line="253" w:lineRule="auto"/>
        <w:rPr>
          <w:sz w:val="20"/>
          <w:szCs w:val="20"/>
          <w:color w:val="auto"/>
        </w:rPr>
      </w:pPr>
      <w:r>
        <w:rPr>
          <w:rFonts w:ascii="Times New Roman" w:cs="Times New Roman" w:eastAsia="Times New Roman" w:hAnsi="Times New Roman"/>
          <w:sz w:val="18"/>
          <w:szCs w:val="18"/>
          <w:color w:val="auto"/>
        </w:rPr>
        <w:t>Each year, participants may make a pretax contribution deferring no less than 2% or more than 25% of total compensation, as defined by the Plan, subject to Internal Revenue Code (“IRC”) limitation. For 2025, a participant’s tax-deferred contribution was limited to $23,500. Participants may also contribute amounts representing distributions from other qualified defined benefit or defined contribution plans. In addition, in 2024, the Plan was updated to allow for a post-tax Roth 401(k) deferral option as well.</w:t>
      </w:r>
    </w:p>
    <w:p>
      <w:pPr>
        <w:spacing w:after="0" w:line="189" w:lineRule="exact"/>
        <w:rPr>
          <w:sz w:val="20"/>
          <w:szCs w:val="20"/>
          <w:color w:val="auto"/>
        </w:rPr>
      </w:pPr>
    </w:p>
    <w:p>
      <w:pPr>
        <w:jc w:val="both"/>
        <w:ind w:left="180"/>
        <w:spacing w:after="0" w:line="261" w:lineRule="auto"/>
        <w:rPr>
          <w:sz w:val="20"/>
          <w:szCs w:val="20"/>
          <w:color w:val="auto"/>
        </w:rPr>
      </w:pPr>
      <w:r>
        <w:rPr>
          <w:rFonts w:ascii="Times New Roman" w:cs="Times New Roman" w:eastAsia="Times New Roman" w:hAnsi="Times New Roman"/>
          <w:sz w:val="18"/>
          <w:szCs w:val="18"/>
          <w:color w:val="auto"/>
        </w:rPr>
        <w:t>Participants who have attained the age of 50 before the end of the Plan year were eligible to make an additional $7,500 catch-up contribution. In addition, effective February 24, 2025, participants between the age of 60-63 are allowed to contribute a higher contribution amount to the catch-up contributions as outlined by Secure Act 2.0. Participants direct the investment of their contributions into various investment options offered by the Plan. The Plan currently offers a variety of investment options for participants, one of which is common stock of the Plan sponsor, J&amp;J Snack Foods Corp.</w:t>
      </w:r>
    </w:p>
    <w:p>
      <w:pPr>
        <w:spacing w:after="0" w:line="1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Company may contribute:</w:t>
      </w:r>
    </w:p>
    <w:p>
      <w:pPr>
        <w:spacing w:after="0" w:line="27" w:lineRule="exact"/>
        <w:rPr>
          <w:sz w:val="20"/>
          <w:szCs w:val="20"/>
          <w:color w:val="auto"/>
        </w:rPr>
      </w:pPr>
    </w:p>
    <w:p>
      <w:pPr>
        <w:ind w:left="660" w:right="20" w:hanging="328"/>
        <w:spacing w:after="0" w:line="250" w:lineRule="auto"/>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discretionary matching contribution equal to a percentage of the amount of the salary reduction elected for deferral by each participant (in 2025, 60% of an employee’s salary reduction up to 5% of salary). This percentage will be determined each year by the Company.</w:t>
      </w:r>
    </w:p>
    <w:p>
      <w:pPr>
        <w:ind w:left="660" w:hanging="328"/>
        <w:spacing w:after="0" w:line="250" w:lineRule="auto"/>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behalf of each non-highly compensated participant, a special discretionary contribution equal to a percentage of the participant’s compensation. This percentage will be determined each year by the Company. There was no such contribution in 2025.</w:t>
      </w:r>
    </w:p>
    <w:p>
      <w:pPr>
        <w:ind w:left="660" w:hanging="328"/>
        <w:spacing w:after="0" w:line="260" w:lineRule="auto"/>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discretionary amount in addition to the special contribution, which will be determined each year by the Company. There was no such contribution in 2025.</w:t>
      </w:r>
    </w:p>
    <w:p>
      <w:pPr>
        <w:spacing w:after="0" w:line="181" w:lineRule="exact"/>
        <w:rPr>
          <w:rFonts w:ascii="Times New Roman" w:cs="Times New Roman" w:eastAsia="Times New Roman" w:hAnsi="Times New Roman"/>
          <w:sz w:val="18"/>
          <w:szCs w:val="18"/>
          <w:color w:val="auto"/>
        </w:rPr>
      </w:pPr>
    </w:p>
    <w:p>
      <w:pPr>
        <w:ind w:left="360" w:hanging="190"/>
        <w:spacing w:after="0"/>
        <w:tabs>
          <w:tab w:leader="none" w:pos="3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Participant Accounts</w:t>
      </w:r>
    </w:p>
    <w:p>
      <w:pPr>
        <w:spacing w:after="0" w:line="27" w:lineRule="exact"/>
        <w:rPr>
          <w:sz w:val="20"/>
          <w:szCs w:val="20"/>
          <w:color w:val="auto"/>
        </w:rPr>
      </w:pPr>
    </w:p>
    <w:p>
      <w:pPr>
        <w:jc w:val="both"/>
        <w:ind w:left="180"/>
        <w:spacing w:after="0" w:line="253" w:lineRule="auto"/>
        <w:rPr>
          <w:sz w:val="20"/>
          <w:szCs w:val="20"/>
          <w:color w:val="auto"/>
        </w:rPr>
      </w:pPr>
      <w:r>
        <w:rPr>
          <w:rFonts w:ascii="Times New Roman" w:cs="Times New Roman" w:eastAsia="Times New Roman" w:hAnsi="Times New Roman"/>
          <w:sz w:val="18"/>
          <w:szCs w:val="18"/>
          <w:color w:val="auto"/>
        </w:rPr>
        <w:t>Each participant’s account is credited with the participant’s contribution and allocation of (a) the Company’s contribution and, (b) Plan earnings net of expenses, and (c) allocation of administrative expenses. Allocations are based on participant earnings or account balances, as defined. The benefit to which a participant is entitled is the benefit that can be provided from the participant’s vested account. Participants have the ability to make daily transfers of all or a portion of employee and employer contributions to their account from one fund to another in multiples of 5% of the fund balance.</w:t>
      </w:r>
    </w:p>
    <w:p>
      <w:pPr>
        <w:spacing w:after="0" w:line="200" w:lineRule="exact"/>
        <w:rPr>
          <w:sz w:val="20"/>
          <w:szCs w:val="20"/>
          <w:color w:val="auto"/>
        </w:rPr>
      </w:pPr>
    </w:p>
    <w:p>
      <w:pPr>
        <w:spacing w:after="0" w:line="205" w:lineRule="exact"/>
        <w:rPr>
          <w:sz w:val="20"/>
          <w:szCs w:val="20"/>
          <w:color w:val="auto"/>
        </w:rPr>
      </w:pPr>
    </w:p>
    <w:p>
      <w:pPr>
        <w:ind w:left="360" w:hanging="190"/>
        <w:spacing w:after="0"/>
        <w:tabs>
          <w:tab w:leader="none" w:pos="3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w:t>
      </w:r>
    </w:p>
    <w:p>
      <w:pPr>
        <w:spacing w:after="0" w:line="27" w:lineRule="exact"/>
        <w:rPr>
          <w:sz w:val="20"/>
          <w:szCs w:val="20"/>
          <w:color w:val="auto"/>
        </w:rPr>
      </w:pPr>
    </w:p>
    <w:p>
      <w:pPr>
        <w:jc w:val="both"/>
        <w:ind w:left="180"/>
        <w:spacing w:after="0" w:line="255" w:lineRule="auto"/>
        <w:rPr>
          <w:sz w:val="20"/>
          <w:szCs w:val="20"/>
          <w:color w:val="auto"/>
        </w:rPr>
      </w:pPr>
      <w:r>
        <w:rPr>
          <w:rFonts w:ascii="Times New Roman" w:cs="Times New Roman" w:eastAsia="Times New Roman" w:hAnsi="Times New Roman"/>
          <w:sz w:val="18"/>
          <w:szCs w:val="18"/>
          <w:color w:val="auto"/>
        </w:rPr>
        <w:t>Participants are 100% vested in their salary reduction plus actual earnings therein. Effective January 1, 2023, the Plan changed from a 6-year grading vesting schedule to a modified schedule based on years of service where 20% is vested each year for the first three years and then 40% after the fourth year.</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J &amp; J Snack Foods Corp. 401(k) Profit Sharing Plan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A - DESCRIPTION OF THE PLAN – Continued</w:t>
      </w:r>
    </w:p>
    <w:p>
      <w:pPr>
        <w:spacing w:after="0" w:line="225" w:lineRule="exact"/>
        <w:rPr>
          <w:sz w:val="20"/>
          <w:szCs w:val="20"/>
          <w:color w:val="auto"/>
        </w:rPr>
      </w:pPr>
    </w:p>
    <w:p>
      <w:pPr>
        <w:ind w:left="360" w:hanging="190"/>
        <w:spacing w:after="0"/>
        <w:tabs>
          <w:tab w:leader="none" w:pos="3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Benefits</w:t>
      </w:r>
    </w:p>
    <w:p>
      <w:pPr>
        <w:spacing w:after="0" w:line="27" w:lineRule="exact"/>
        <w:rPr>
          <w:sz w:val="20"/>
          <w:szCs w:val="20"/>
          <w:color w:val="auto"/>
        </w:rPr>
      </w:pPr>
    </w:p>
    <w:p>
      <w:pPr>
        <w:jc w:val="both"/>
        <w:ind w:left="180"/>
        <w:spacing w:after="0" w:line="255" w:lineRule="auto"/>
        <w:rPr>
          <w:sz w:val="20"/>
          <w:szCs w:val="20"/>
          <w:color w:val="auto"/>
        </w:rPr>
      </w:pPr>
      <w:r>
        <w:rPr>
          <w:rFonts w:ascii="Times New Roman" w:cs="Times New Roman" w:eastAsia="Times New Roman" w:hAnsi="Times New Roman"/>
          <w:sz w:val="18"/>
          <w:szCs w:val="18"/>
          <w:color w:val="auto"/>
        </w:rPr>
        <w:t>Upon termination of service, retirement, death or disability, the vested portion of a participant’s account may be distributed to the participant or beneficiary by transfer to another qualified plan or through a lump sum distribution, which will be subject to income taxes and may be subject to an additional tax due to early withdrawal.</w:t>
      </w:r>
    </w:p>
    <w:p>
      <w:pPr>
        <w:spacing w:after="0" w:line="186" w:lineRule="exact"/>
        <w:rPr>
          <w:sz w:val="20"/>
          <w:szCs w:val="20"/>
          <w:color w:val="auto"/>
        </w:rPr>
      </w:pPr>
    </w:p>
    <w:p>
      <w:pPr>
        <w:jc w:val="both"/>
        <w:ind w:left="180"/>
        <w:spacing w:after="0" w:line="258" w:lineRule="auto"/>
        <w:rPr>
          <w:sz w:val="20"/>
          <w:szCs w:val="20"/>
          <w:color w:val="auto"/>
        </w:rPr>
      </w:pPr>
      <w:r>
        <w:rPr>
          <w:rFonts w:ascii="Times New Roman" w:cs="Times New Roman" w:eastAsia="Times New Roman" w:hAnsi="Times New Roman"/>
          <w:sz w:val="18"/>
          <w:szCs w:val="18"/>
          <w:color w:val="auto"/>
        </w:rPr>
        <w:t>In-service withdrawals of all or a portion of a participant’s vested account balance may be made by participants who have attained the age of 59 ½. As allowed under IRS rules, participants may withdraw funds from their vested accounts while employed to satisfy an immediate and heavy financial need, which is considered a hardship withdrawal. Any amount withdrawn will be subject to income taxes and may be subject to an additional tax due to early withdrawal. The Plan has an annual required minimum distribution starting at age 73 for non-employee participants and for active participants who own more than 5% of the Plan sponsor’s common stock.</w:t>
      </w:r>
    </w:p>
    <w:p>
      <w:pPr>
        <w:spacing w:after="0" w:line="183" w:lineRule="exact"/>
        <w:rPr>
          <w:sz w:val="20"/>
          <w:szCs w:val="20"/>
          <w:color w:val="auto"/>
        </w:rPr>
      </w:pPr>
    </w:p>
    <w:p>
      <w:pPr>
        <w:ind w:left="360" w:hanging="190"/>
        <w:spacing w:after="0"/>
        <w:tabs>
          <w:tab w:leader="none" w:pos="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Notes Receivable from Participants</w:t>
      </w:r>
    </w:p>
    <w:p>
      <w:pPr>
        <w:spacing w:after="0" w:line="27" w:lineRule="exact"/>
        <w:rPr>
          <w:sz w:val="20"/>
          <w:szCs w:val="20"/>
          <w:color w:val="auto"/>
        </w:rPr>
      </w:pPr>
    </w:p>
    <w:p>
      <w:pPr>
        <w:jc w:val="both"/>
        <w:ind w:left="180"/>
        <w:spacing w:after="0" w:line="252" w:lineRule="auto"/>
        <w:rPr>
          <w:sz w:val="20"/>
          <w:szCs w:val="20"/>
          <w:color w:val="auto"/>
        </w:rPr>
      </w:pPr>
      <w:r>
        <w:rPr>
          <w:rFonts w:ascii="Times New Roman" w:cs="Times New Roman" w:eastAsia="Times New Roman" w:hAnsi="Times New Roman"/>
          <w:sz w:val="18"/>
          <w:szCs w:val="18"/>
          <w:color w:val="auto"/>
        </w:rPr>
        <w:t>The trustee may make loans from the Plan to participants in accordance with the Plan document. All loans bear interest rates that are commensurate with local prevailing rates at date of issuance as determined by the Plan administrator. The interest rates range from 4.25% to 9.50% with the loans having a maturity date through October 2055. Participants may request loans for a minimum of $1,000 up to 50% of their vested balance with a maximum to $50,000. All loans are to be repaid within five years unless the loan is used to acquire a principal residence, in which case the term may be longer. Loans are secured by the portion of the vested balance in the participant’s account that is equal to the amount that is loaned to the participant. Principal and interest is paid ratably through monthly payroll deductions.</w:t>
      </w:r>
    </w:p>
    <w:p>
      <w:pPr>
        <w:spacing w:after="0" w:line="190" w:lineRule="exact"/>
        <w:rPr>
          <w:sz w:val="20"/>
          <w:szCs w:val="20"/>
          <w:color w:val="auto"/>
        </w:rPr>
      </w:pPr>
    </w:p>
    <w:p>
      <w:pPr>
        <w:jc w:val="both"/>
        <w:ind w:left="180"/>
        <w:spacing w:after="0" w:line="266" w:lineRule="auto"/>
        <w:rPr>
          <w:sz w:val="20"/>
          <w:szCs w:val="20"/>
          <w:color w:val="auto"/>
        </w:rPr>
      </w:pPr>
      <w:r>
        <w:rPr>
          <w:rFonts w:ascii="Times New Roman" w:cs="Times New Roman" w:eastAsia="Times New Roman" w:hAnsi="Times New Roman"/>
          <w:sz w:val="18"/>
          <w:szCs w:val="18"/>
          <w:color w:val="auto"/>
        </w:rPr>
        <w:t>Notes receivable from participants are measured at their unpaid principal balance plus any accrued but unpaid interest. Delinquent notes receivable from participants are deemed to be a distribution based upon the terms of the Plan document. Participants may have up to a maximum of two loans outstanding at any one time.</w:t>
      </w:r>
    </w:p>
    <w:p>
      <w:pPr>
        <w:spacing w:after="0" w:line="176" w:lineRule="exact"/>
        <w:rPr>
          <w:sz w:val="20"/>
          <w:szCs w:val="20"/>
          <w:color w:val="auto"/>
        </w:rPr>
      </w:pPr>
    </w:p>
    <w:p>
      <w:pPr>
        <w:ind w:left="360" w:hanging="190"/>
        <w:spacing w:after="0"/>
        <w:tabs>
          <w:tab w:leader="none" w:pos="3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Forfeited Accounts</w:t>
      </w:r>
    </w:p>
    <w:p>
      <w:pPr>
        <w:spacing w:after="0" w:line="27" w:lineRule="exact"/>
        <w:rPr>
          <w:sz w:val="20"/>
          <w:szCs w:val="20"/>
          <w:color w:val="auto"/>
        </w:rPr>
      </w:pPr>
    </w:p>
    <w:p>
      <w:pPr>
        <w:ind w:left="180" w:right="20"/>
        <w:spacing w:after="0" w:line="260" w:lineRule="auto"/>
        <w:rPr>
          <w:sz w:val="20"/>
          <w:szCs w:val="20"/>
          <w:color w:val="auto"/>
        </w:rPr>
      </w:pPr>
      <w:r>
        <w:rPr>
          <w:rFonts w:ascii="Times New Roman" w:cs="Times New Roman" w:eastAsia="Times New Roman" w:hAnsi="Times New Roman"/>
          <w:sz w:val="18"/>
          <w:szCs w:val="18"/>
          <w:color w:val="auto"/>
        </w:rPr>
        <w:t>Forfeitures as of December 31, 2025, and 2024 were $301,546 and $363,542, respectively. A total of $286,850 in forfeitures were used in the year ended December 31, 2025 to offset employer match contributions. Forfeitures are periodically used to pay plan expenses or offset employer contributions.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J &amp; J Snack Foods Corp. 401(k) Profit Sharing Plan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A - DESCRIPTION OF THE PLAN – Continued</w:t>
      </w:r>
    </w:p>
    <w:p>
      <w:pPr>
        <w:spacing w:after="0" w:line="225" w:lineRule="exact"/>
        <w:rPr>
          <w:sz w:val="20"/>
          <w:szCs w:val="20"/>
          <w:color w:val="auto"/>
        </w:rPr>
      </w:pPr>
    </w:p>
    <w:p>
      <w:pPr>
        <w:ind w:left="360" w:hanging="190"/>
        <w:spacing w:after="0"/>
        <w:tabs>
          <w:tab w:leader="none" w:pos="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Plan Administration</w:t>
      </w:r>
    </w:p>
    <w:p>
      <w:pPr>
        <w:spacing w:after="0" w:line="225" w:lineRule="exact"/>
        <w:rPr>
          <w:sz w:val="20"/>
          <w:szCs w:val="20"/>
          <w:color w:val="auto"/>
        </w:rPr>
      </w:pPr>
    </w:p>
    <w:p>
      <w:pPr>
        <w:jc w:val="both"/>
        <w:ind w:left="180"/>
        <w:spacing w:after="0" w:line="261" w:lineRule="auto"/>
        <w:rPr>
          <w:sz w:val="20"/>
          <w:szCs w:val="20"/>
          <w:color w:val="auto"/>
        </w:rPr>
      </w:pPr>
      <w:r>
        <w:rPr>
          <w:rFonts w:ascii="Times New Roman" w:cs="Times New Roman" w:eastAsia="Times New Roman" w:hAnsi="Times New Roman"/>
          <w:sz w:val="18"/>
          <w:szCs w:val="18"/>
          <w:color w:val="auto"/>
        </w:rPr>
        <w:t>The plan incurred administrative expenses of $251,330, for the year ended December 31, 2025. The Plan sponsor has the option but not the obligation to pay any of the Plan's administrative expenses. In addition, certain administrative functions are performed by officers and employees of the Plan sponsor for which they receive no compensation from the Plan nor is the Plan charged for these services. Additionally, the Plan sponsor incurs and pays additional expenses which are not charged to the plan.</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B - SUMMARY OF SIGNIFICANT ACCOUNTING POLICIES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 summary of the Plan’s significant accounting policies consistently applied in the preparation of the accompanying financial statements follows.</w:t>
      </w:r>
    </w:p>
    <w:p>
      <w:pPr>
        <w:spacing w:after="0" w:line="225" w:lineRule="exact"/>
        <w:rPr>
          <w:sz w:val="20"/>
          <w:szCs w:val="20"/>
          <w:color w:val="auto"/>
        </w:rPr>
      </w:pPr>
    </w:p>
    <w:p>
      <w:pPr>
        <w:ind w:left="360" w:hanging="190"/>
        <w:spacing w:after="0"/>
        <w:tabs>
          <w:tab w:leader="none" w:pos="3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Basis of Accounting</w:t>
      </w:r>
    </w:p>
    <w:p>
      <w:pPr>
        <w:spacing w:after="0" w:line="27" w:lineRule="exact"/>
        <w:rPr>
          <w:sz w:val="20"/>
          <w:szCs w:val="20"/>
          <w:color w:val="auto"/>
        </w:rPr>
      </w:pPr>
    </w:p>
    <w:p>
      <w:pPr>
        <w:ind w:left="180"/>
        <w:spacing w:after="0" w:line="260" w:lineRule="auto"/>
        <w:rPr>
          <w:sz w:val="20"/>
          <w:szCs w:val="20"/>
          <w:color w:val="auto"/>
        </w:rPr>
      </w:pPr>
      <w:r>
        <w:rPr>
          <w:rFonts w:ascii="Times New Roman" w:cs="Times New Roman" w:eastAsia="Times New Roman" w:hAnsi="Times New Roman"/>
          <w:sz w:val="18"/>
          <w:szCs w:val="18"/>
          <w:color w:val="auto"/>
        </w:rPr>
        <w:t>The financial statements of the Plan are prepared under the accrual method of accounting in accordance with accounting principles generally accepted in the United States of America (“U.S. GAAP”).</w:t>
      </w:r>
    </w:p>
    <w:p>
      <w:pPr>
        <w:spacing w:after="0" w:line="181" w:lineRule="exact"/>
        <w:rPr>
          <w:sz w:val="20"/>
          <w:szCs w:val="20"/>
          <w:color w:val="auto"/>
        </w:rPr>
      </w:pPr>
    </w:p>
    <w:p>
      <w:pPr>
        <w:ind w:left="360" w:hanging="190"/>
        <w:spacing w:after="0"/>
        <w:tabs>
          <w:tab w:leader="none" w:pos="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Estimates</w:t>
      </w:r>
    </w:p>
    <w:p>
      <w:pPr>
        <w:spacing w:after="0" w:line="27" w:lineRule="exact"/>
        <w:rPr>
          <w:sz w:val="20"/>
          <w:szCs w:val="20"/>
          <w:color w:val="auto"/>
        </w:rPr>
      </w:pPr>
    </w:p>
    <w:p>
      <w:pPr>
        <w:jc w:val="both"/>
        <w:ind w:left="180"/>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additions and deductions during the reporting period. Actual results could differ from those estimates.</w:t>
      </w:r>
    </w:p>
    <w:p>
      <w:pPr>
        <w:spacing w:after="0" w:line="186" w:lineRule="exact"/>
        <w:rPr>
          <w:sz w:val="20"/>
          <w:szCs w:val="20"/>
          <w:color w:val="auto"/>
        </w:rPr>
      </w:pPr>
    </w:p>
    <w:p>
      <w:pPr>
        <w:ind w:left="360" w:hanging="190"/>
        <w:spacing w:after="0"/>
        <w:tabs>
          <w:tab w:leader="none" w:pos="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Valuation and Income Recognition</w:t>
      </w:r>
    </w:p>
    <w:p>
      <w:pPr>
        <w:spacing w:after="0" w:line="27" w:lineRule="exact"/>
        <w:rPr>
          <w:sz w:val="20"/>
          <w:szCs w:val="20"/>
          <w:color w:val="auto"/>
        </w:rPr>
      </w:pPr>
    </w:p>
    <w:p>
      <w:pPr>
        <w:jc w:val="both"/>
        <w:ind w:left="180"/>
        <w:spacing w:after="0" w:line="260" w:lineRule="auto"/>
        <w:rPr>
          <w:sz w:val="20"/>
          <w:szCs w:val="20"/>
          <w:color w:val="auto"/>
        </w:rPr>
      </w:pPr>
      <w:r>
        <w:rPr>
          <w:rFonts w:ascii="Times New Roman" w:cs="Times New Roman" w:eastAsia="Times New Roman" w:hAnsi="Times New Roman"/>
          <w:sz w:val="18"/>
          <w:szCs w:val="18"/>
          <w:color w:val="auto"/>
        </w:rPr>
        <w:t>Investments are reported at fair value with the exception of the Plan’s interest in the Separate Account Guaranteed Interest Contract (“SAGIC”), a diversified bond fund, which is reported at contract value and does not differ materially from fair value.</w:t>
      </w:r>
    </w:p>
    <w:p>
      <w:pPr>
        <w:spacing w:after="0" w:line="181" w:lineRule="exact"/>
        <w:rPr>
          <w:sz w:val="20"/>
          <w:szCs w:val="20"/>
          <w:color w:val="auto"/>
        </w:rPr>
      </w:pPr>
    </w:p>
    <w:p>
      <w:pPr>
        <w:jc w:val="both"/>
        <w:ind w:left="180"/>
        <w:spacing w:after="0" w:line="266" w:lineRule="auto"/>
        <w:rPr>
          <w:sz w:val="20"/>
          <w:szCs w:val="20"/>
          <w:color w:val="auto"/>
        </w:rPr>
      </w:pPr>
      <w:r>
        <w:rPr>
          <w:rFonts w:ascii="Times New Roman" w:cs="Times New Roman" w:eastAsia="Times New Roman" w:hAnsi="Times New Roman"/>
          <w:sz w:val="18"/>
          <w:szCs w:val="18"/>
          <w:color w:val="auto"/>
        </w:rPr>
        <w:t>The change in fair value of investments during the year is measured by the difference between the fair value at year-end and the fair value at the beginning of the year or costs of purchases during the year and is reflected in the statement of changes in net assets available for benefits as net appreciation/depreciation in fair value of investments. See note B4 for discussion of fair value measurements.</w:t>
      </w:r>
    </w:p>
    <w:p>
      <w:pPr>
        <w:spacing w:after="0" w:line="176" w:lineRule="exact"/>
        <w:rPr>
          <w:sz w:val="20"/>
          <w:szCs w:val="20"/>
          <w:color w:val="auto"/>
        </w:rPr>
      </w:pPr>
    </w:p>
    <w:p>
      <w:pPr>
        <w:jc w:val="both"/>
        <w:ind w:left="180"/>
        <w:spacing w:after="0" w:line="282" w:lineRule="auto"/>
        <w:rPr>
          <w:sz w:val="20"/>
          <w:szCs w:val="20"/>
          <w:color w:val="auto"/>
        </w:rPr>
      </w:pPr>
      <w:r>
        <w:rPr>
          <w:rFonts w:ascii="Times New Roman" w:cs="Times New Roman" w:eastAsia="Times New Roman" w:hAnsi="Times New Roman"/>
          <w:sz w:val="18"/>
          <w:szCs w:val="18"/>
          <w:color w:val="auto"/>
        </w:rPr>
        <w:t>The purchases and sales of securities are recorded on a trade-date basis. Interest income is recorded on the accrual basis. Dividends are recorded on the ex-dividend date. Net appreciation/depreciation includes the plan’s gains and losses on investments bought and sold as well as held during the year.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 &amp; J Snack Foods Corp. 401(k) Profit Sharing Plan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B - SUMMARY OF SIGNIFICANT ACCOUNTING POLICIES – Continued</w:t>
      </w:r>
    </w:p>
    <w:p>
      <w:pPr>
        <w:spacing w:after="0" w:line="225" w:lineRule="exact"/>
        <w:rPr>
          <w:sz w:val="20"/>
          <w:szCs w:val="20"/>
          <w:color w:val="auto"/>
        </w:rPr>
      </w:pPr>
    </w:p>
    <w:p>
      <w:pPr>
        <w:ind w:left="360" w:hanging="190"/>
        <w:spacing w:after="0"/>
        <w:tabs>
          <w:tab w:leader="none" w:pos="3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Measurements</w:t>
      </w:r>
    </w:p>
    <w:p>
      <w:pPr>
        <w:spacing w:after="0" w:line="27" w:lineRule="exact"/>
        <w:rPr>
          <w:sz w:val="20"/>
          <w:szCs w:val="20"/>
          <w:color w:val="auto"/>
        </w:rPr>
      </w:pPr>
    </w:p>
    <w:p>
      <w:pPr>
        <w:jc w:val="both"/>
        <w:ind w:left="180"/>
        <w:spacing w:after="0" w:line="252" w:lineRule="auto"/>
        <w:rPr>
          <w:sz w:val="20"/>
          <w:szCs w:val="20"/>
          <w:color w:val="auto"/>
        </w:rPr>
      </w:pPr>
      <w:r>
        <w:rPr>
          <w:rFonts w:ascii="Times New Roman" w:cs="Times New Roman" w:eastAsia="Times New Roman" w:hAnsi="Times New Roman"/>
          <w:sz w:val="18"/>
          <w:szCs w:val="18"/>
          <w:color w:val="auto"/>
        </w:rPr>
        <w:t>The Plan’s investments (excluding the SAGIC investment referenced to above) are stated at fair value, which is the price that would be received to sell an asset or paid to transfer a liability in an orderly transaction between market participants at the measurement date. The Plan adopted accounting guidance which requires enhanced disclosures about investments that are measured and reported at fair value. That guidance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as follows:</w:t>
      </w:r>
    </w:p>
    <w:p>
      <w:pPr>
        <w:spacing w:after="0" w:line="190" w:lineRule="exact"/>
        <w:rPr>
          <w:sz w:val="20"/>
          <w:szCs w:val="20"/>
          <w:color w:val="auto"/>
        </w:rPr>
      </w:pPr>
    </w:p>
    <w:p>
      <w:pPr>
        <w:ind w:left="1060" w:right="420" w:hanging="890"/>
        <w:spacing w:after="0" w:line="282" w:lineRule="auto"/>
        <w:tabs>
          <w:tab w:leader="none" w:pos="104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8"/>
          <w:szCs w:val="18"/>
          <w:color w:val="auto"/>
        </w:rPr>
        <w:t>Inputs to the valuation methodology are unadjusted quoted prices for identical assets or liabilities in active markets that the Plan has the ability to access.</w:t>
      </w:r>
    </w:p>
    <w:p>
      <w:pPr>
        <w:spacing w:after="0" w:line="162" w:lineRule="exact"/>
        <w:rPr>
          <w:sz w:val="20"/>
          <w:szCs w:val="20"/>
          <w:color w:val="auto"/>
        </w:rPr>
      </w:pPr>
    </w:p>
    <w:p>
      <w:pPr>
        <w:ind w:left="180"/>
        <w:spacing w:after="0"/>
        <w:tabs>
          <w:tab w:leader="none" w:pos="104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8"/>
          <w:szCs w:val="18"/>
          <w:color w:val="auto"/>
        </w:rPr>
        <w:t>Inputs to the valuation methodology include:</w:t>
      </w:r>
    </w:p>
    <w:p>
      <w:pPr>
        <w:spacing w:after="0" w:line="27" w:lineRule="exact"/>
        <w:rPr>
          <w:sz w:val="20"/>
          <w:szCs w:val="20"/>
          <w:color w:val="auto"/>
        </w:rPr>
      </w:pPr>
    </w:p>
    <w:p>
      <w:pPr>
        <w:ind w:left="1680" w:hanging="295"/>
        <w:spacing w:after="0"/>
        <w:tabs>
          <w:tab w:leader="none" w:pos="1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similar assets or liabilities in active markets.</w:t>
      </w:r>
    </w:p>
    <w:p>
      <w:pPr>
        <w:spacing w:after="0" w:line="9" w:lineRule="exact"/>
        <w:rPr>
          <w:rFonts w:ascii="Times New Roman" w:cs="Times New Roman" w:eastAsia="Times New Roman" w:hAnsi="Times New Roman"/>
          <w:sz w:val="18"/>
          <w:szCs w:val="18"/>
          <w:color w:val="auto"/>
        </w:rPr>
      </w:pPr>
    </w:p>
    <w:p>
      <w:pPr>
        <w:ind w:left="1680" w:hanging="295"/>
        <w:spacing w:after="0"/>
        <w:tabs>
          <w:tab w:leader="none" w:pos="1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identical or similar assets or liabilities in inactive markets.</w:t>
      </w:r>
    </w:p>
    <w:p>
      <w:pPr>
        <w:spacing w:after="0" w:line="9" w:lineRule="exact"/>
        <w:rPr>
          <w:rFonts w:ascii="Times New Roman" w:cs="Times New Roman" w:eastAsia="Times New Roman" w:hAnsi="Times New Roman"/>
          <w:sz w:val="18"/>
          <w:szCs w:val="18"/>
          <w:color w:val="auto"/>
        </w:rPr>
      </w:pPr>
    </w:p>
    <w:p>
      <w:pPr>
        <w:ind w:left="1680" w:hanging="295"/>
        <w:spacing w:after="0"/>
        <w:tabs>
          <w:tab w:leader="none" w:pos="1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inputs other than quoted prices that are observable for the asset or liability.</w:t>
      </w:r>
    </w:p>
    <w:p>
      <w:pPr>
        <w:spacing w:after="0" w:line="9" w:lineRule="exact"/>
        <w:rPr>
          <w:rFonts w:ascii="Times New Roman" w:cs="Times New Roman" w:eastAsia="Times New Roman" w:hAnsi="Times New Roman"/>
          <w:sz w:val="18"/>
          <w:szCs w:val="18"/>
          <w:color w:val="auto"/>
        </w:rPr>
      </w:pPr>
    </w:p>
    <w:p>
      <w:pPr>
        <w:ind w:left="1680" w:hanging="295"/>
        <w:spacing w:after="0"/>
        <w:tabs>
          <w:tab w:leader="none" w:pos="1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inputs that are derived principally from or corroborated by observable market data by correlation or other means.</w:t>
      </w:r>
    </w:p>
    <w:p>
      <w:pPr>
        <w:spacing w:after="0" w:line="9" w:lineRule="exact"/>
        <w:rPr>
          <w:sz w:val="20"/>
          <w:szCs w:val="20"/>
          <w:color w:val="auto"/>
        </w:rPr>
      </w:pPr>
    </w:p>
    <w:p>
      <w:pPr>
        <w:jc w:val="both"/>
        <w:ind w:left="1060" w:right="420"/>
        <w:spacing w:after="0" w:line="260" w:lineRule="auto"/>
        <w:rPr>
          <w:sz w:val="20"/>
          <w:szCs w:val="20"/>
          <w:color w:val="auto"/>
        </w:rPr>
      </w:pPr>
      <w:r>
        <w:rPr>
          <w:rFonts w:ascii="Times New Roman" w:cs="Times New Roman" w:eastAsia="Times New Roman" w:hAnsi="Times New Roman"/>
          <w:sz w:val="18"/>
          <w:szCs w:val="18"/>
          <w:color w:val="auto"/>
        </w:rPr>
        <w:t>If the asset or liability has a specified (contractual) term, the Level 2 input must be observable for substantially the full term of the asset or liability.</w:t>
      </w:r>
    </w:p>
    <w:p>
      <w:pPr>
        <w:spacing w:after="0" w:line="181" w:lineRule="exact"/>
        <w:rPr>
          <w:sz w:val="20"/>
          <w:szCs w:val="20"/>
          <w:color w:val="auto"/>
        </w:rPr>
      </w:pPr>
    </w:p>
    <w:p>
      <w:pPr>
        <w:ind w:left="180"/>
        <w:spacing w:after="0"/>
        <w:tabs>
          <w:tab w:leader="none" w:pos="104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8"/>
          <w:szCs w:val="18"/>
          <w:color w:val="auto"/>
        </w:rPr>
        <w:t>Inputs to the valuation methodology are unobservable and significant to the fair value measurement.</w:t>
      </w:r>
    </w:p>
    <w:p>
      <w:pPr>
        <w:spacing w:after="0" w:line="225" w:lineRule="exact"/>
        <w:rPr>
          <w:sz w:val="20"/>
          <w:szCs w:val="20"/>
          <w:color w:val="auto"/>
        </w:rPr>
      </w:pPr>
    </w:p>
    <w:p>
      <w:pPr>
        <w:jc w:val="both"/>
        <w:ind w:left="1060" w:right="400"/>
        <w:spacing w:after="0" w:line="266" w:lineRule="auto"/>
        <w:rPr>
          <w:sz w:val="20"/>
          <w:szCs w:val="20"/>
          <w:color w:val="auto"/>
        </w:rPr>
      </w:pPr>
      <w:r>
        <w:rPr>
          <w:rFonts w:ascii="Times New Roman" w:cs="Times New Roman" w:eastAsia="Times New Roman" w:hAnsi="Times New Roman"/>
          <w:sz w:val="18"/>
          <w:szCs w:val="18"/>
          <w:color w:val="auto"/>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w:t>
      </w:r>
    </w:p>
    <w:p>
      <w:pPr>
        <w:spacing w:after="0" w:line="176" w:lineRule="exact"/>
        <w:rPr>
          <w:sz w:val="20"/>
          <w:szCs w:val="20"/>
          <w:color w:val="auto"/>
        </w:rPr>
      </w:pPr>
    </w:p>
    <w:p>
      <w:pPr>
        <w:jc w:val="both"/>
        <w:ind w:left="1060" w:right="400"/>
        <w:spacing w:after="0" w:line="282" w:lineRule="auto"/>
        <w:rPr>
          <w:sz w:val="20"/>
          <w:szCs w:val="20"/>
          <w:color w:val="auto"/>
        </w:rPr>
      </w:pPr>
      <w:r>
        <w:rPr>
          <w:rFonts w:ascii="Times New Roman" w:cs="Times New Roman" w:eastAsia="Times New Roman" w:hAnsi="Times New Roman"/>
          <w:sz w:val="18"/>
          <w:szCs w:val="18"/>
          <w:color w:val="auto"/>
        </w:rPr>
        <w:t>Following is a description of the valuation methodologies used for assets measured at fair value. There have been no changes in the methodologies used at December 31, 2025 and 2024.</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u w:val="single" w:color="auto"/>
          <w:color w:val="auto"/>
        </w:rPr>
        <w:t>Mutual Funds:</w:t>
      </w:r>
      <w:r>
        <w:rPr>
          <w:rFonts w:ascii="Times New Roman" w:cs="Times New Roman" w:eastAsia="Times New Roman" w:hAnsi="Times New Roman"/>
          <w:sz w:val="18"/>
          <w:szCs w:val="18"/>
          <w:color w:val="auto"/>
        </w:rPr>
        <w:t xml:space="preserve"> These investments are public investment securities valued at net asset value (“NAV”). The NAV is a quoted price in an active market on which the securities are traded. Shares of registered investment companies are classified as Level 1 investments.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J &amp; J Snack Foods Corp. 401(k) Profit Sharing Plan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B - SUMMARY OF SIGNIFICANT ACCOUNTING POLICIES – Continued</w:t>
      </w:r>
    </w:p>
    <w:p>
      <w:pPr>
        <w:spacing w:after="0" w:line="225"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u w:val="single" w:color="auto"/>
          <w:color w:val="auto"/>
        </w:rPr>
        <w:t>J&amp;J Snack Foods Corp Common Stock Fund:</w:t>
      </w:r>
      <w:r>
        <w:rPr>
          <w:rFonts w:ascii="Times New Roman" w:cs="Times New Roman" w:eastAsia="Times New Roman" w:hAnsi="Times New Roman"/>
          <w:sz w:val="18"/>
          <w:szCs w:val="18"/>
          <w:color w:val="auto"/>
        </w:rPr>
        <w:t xml:space="preserve"> This fund represents employer securities valued at the closing price reported on the active market on which the individual securities are traded. A small portion of the fund is invested in short-term money market instruments. The money market portion of the fund provides liquidity, which enables the Plan participants to transfer money daily among all investment choices. The common stock is classified as a Level 1 investment.</w:t>
      </w:r>
    </w:p>
    <w:p>
      <w:pPr>
        <w:spacing w:after="0" w:line="1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u w:val="single" w:color="auto"/>
          <w:color w:val="auto"/>
        </w:rPr>
        <w:t>Collective Trusts (CCT’s):</w:t>
      </w:r>
      <w:r>
        <w:rPr>
          <w:rFonts w:ascii="Times New Roman" w:cs="Times New Roman" w:eastAsia="Times New Roman" w:hAnsi="Times New Roman"/>
          <w:sz w:val="18"/>
          <w:szCs w:val="18"/>
          <w:color w:val="auto"/>
        </w:rPr>
        <w:t xml:space="preserve"> These are valued as net asset value (NAV) of units held. The NAV is used as a practical expedient to estimate fair value. The NAV is based on the fair value of the underlying investments held by the fund less its liabilities. This practical expedient is not used when it is determined to be probable that the Plan will sell the investment for an amount different than the reported NAV. The Collective Trusts carry no unfunded commitments and may be redeemed daily with no restrictions related to the redemption notice period.</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preceding methods described may produce a fair value calculation that may not be indicative of net realizable value or reflective of future values. Furthermore, although the plan believes its valuation methods are appropriate and consistent with other market participants, the use of different methodologies or assumptions to determine the fair value of certain financial instruments could result in a different fair value measurement at the reporting date. The following tables present information about the Plan’s investments measured at fair value on a recurring basis and indicate the fair value hierarchy of the valuation techniques utilized by the Plan to determine such value.</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Fair Value Measurements Using Input Type</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520" w:type="dxa"/>
            <w:vAlign w:val="bottom"/>
          </w:tcPr>
          <w:p>
            <w:pPr>
              <w:spacing w:after="0"/>
              <w:rPr>
                <w:sz w:val="18"/>
                <w:szCs w:val="18"/>
                <w:color w:val="auto"/>
              </w:rPr>
            </w:pPr>
          </w:p>
        </w:tc>
        <w:tc>
          <w:tcPr>
            <w:tcW w:w="172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color w:val="auto"/>
                <w:w w:val="97"/>
              </w:rPr>
              <w:t>Total Fair Value as of</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5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December 31, 2025</w:t>
            </w:r>
          </w:p>
        </w:tc>
        <w:tc>
          <w:tcPr>
            <w:tcW w:w="280" w:type="dxa"/>
            <w:vAlign w:val="bottom"/>
          </w:tcPr>
          <w:p>
            <w:pPr>
              <w:spacing w:after="0"/>
              <w:rPr>
                <w:sz w:val="20"/>
                <w:szCs w:val="20"/>
                <w:color w:val="auto"/>
              </w:rPr>
            </w:pPr>
          </w:p>
        </w:tc>
        <w:tc>
          <w:tcPr>
            <w:tcW w:w="10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Level 1</w:t>
            </w:r>
          </w:p>
        </w:tc>
        <w:tc>
          <w:tcPr>
            <w:tcW w:w="28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Level 2</w:t>
            </w:r>
          </w:p>
        </w:tc>
        <w:tc>
          <w:tcPr>
            <w:tcW w:w="260" w:type="dxa"/>
            <w:vAlign w:val="bottom"/>
          </w:tcPr>
          <w:p>
            <w:pPr>
              <w:spacing w:after="0"/>
              <w:rPr>
                <w:sz w:val="20"/>
                <w:szCs w:val="20"/>
                <w:color w:val="auto"/>
              </w:rPr>
            </w:pPr>
          </w:p>
        </w:tc>
        <w:tc>
          <w:tcPr>
            <w:tcW w:w="10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Level 3</w:t>
            </w:r>
          </w:p>
        </w:tc>
      </w:tr>
      <w:tr>
        <w:trPr>
          <w:trHeight w:val="209"/>
        </w:trPr>
        <w:tc>
          <w:tcPr>
            <w:tcW w:w="5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Fund</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9,229,485</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9,229,485</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Total Mutual Funds</w:t>
            </w:r>
          </w:p>
        </w:tc>
        <w:tc>
          <w:tcPr>
            <w:tcW w:w="100" w:type="dxa"/>
            <w:vAlign w:val="bottom"/>
          </w:tcPr>
          <w:p>
            <w:pPr>
              <w:spacing w:after="0"/>
              <w:rPr>
                <w:sz w:val="19"/>
                <w:szCs w:val="19"/>
                <w:color w:val="auto"/>
              </w:rPr>
            </w:pPr>
          </w:p>
        </w:tc>
        <w:tc>
          <w:tcPr>
            <w:tcW w:w="1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103,332,363</w:t>
            </w:r>
          </w:p>
        </w:tc>
        <w:tc>
          <w:tcPr>
            <w:tcW w:w="2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103,332,363</w:t>
            </w:r>
          </w:p>
        </w:tc>
        <w:tc>
          <w:tcPr>
            <w:tcW w:w="280" w:type="dxa"/>
            <w:vAlign w:val="bottom"/>
          </w:tcPr>
          <w:p>
            <w:pPr>
              <w:spacing w:after="0"/>
              <w:rPr>
                <w:sz w:val="19"/>
                <w:szCs w:val="19"/>
                <w:color w:val="auto"/>
              </w:rPr>
            </w:pP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r>
      <w:tr>
        <w:trPr>
          <w:trHeight w:val="210"/>
        </w:trPr>
        <w:tc>
          <w:tcPr>
            <w:tcW w:w="55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CCT’s measured at NAV</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6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51,697,165</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Total investments measured at fair value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164,259,013</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112,561,848</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0"/>
        </w:trPr>
        <w:tc>
          <w:tcPr>
            <w:tcW w:w="5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340" w:type="dxa"/>
            <w:vAlign w:val="bottom"/>
            <w:tcBorders>
              <w:top w:val="single" w:sz="8" w:color="auto"/>
              <w:bottom w:val="single" w:sz="8" w:color="auto"/>
            </w:tcBorders>
            <w:gridSpan w:val="5"/>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10"/>
        </w:trPr>
        <w:tc>
          <w:tcPr>
            <w:tcW w:w="5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Fair Value Measurements Using Input Type</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5520" w:type="dxa"/>
            <w:vAlign w:val="bottom"/>
          </w:tcPr>
          <w:p>
            <w:pPr>
              <w:spacing w:after="0"/>
              <w:rPr>
                <w:sz w:val="18"/>
                <w:szCs w:val="18"/>
                <w:color w:val="auto"/>
              </w:rPr>
            </w:pPr>
          </w:p>
        </w:tc>
        <w:tc>
          <w:tcPr>
            <w:tcW w:w="172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color w:val="auto"/>
                <w:w w:val="97"/>
              </w:rPr>
              <w:t>Total Fair Value as of</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55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rPr>
              <w:t>December 31, 2024</w:t>
            </w: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Level 1</w:t>
            </w: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Level 2</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Level 3</w:t>
            </w:r>
          </w:p>
        </w:tc>
        <w:tc>
          <w:tcPr>
            <w:tcW w:w="100" w:type="dxa"/>
            <w:vAlign w:val="bottom"/>
            <w:gridSpan w:val="2"/>
          </w:tcPr>
          <w:p>
            <w:pPr>
              <w:spacing w:after="0"/>
              <w:rPr>
                <w:sz w:val="20"/>
                <w:szCs w:val="20"/>
                <w:color w:val="auto"/>
              </w:rPr>
            </w:pPr>
          </w:p>
        </w:tc>
      </w:tr>
      <w:tr>
        <w:trPr>
          <w:trHeight w:val="21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Fund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17,992,176</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17,992,176</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Mutual Funds</w:t>
            </w:r>
          </w:p>
        </w:tc>
        <w:tc>
          <w:tcPr>
            <w:tcW w:w="1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140,241,910</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140,241,910</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55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CCT’s measured at NAV</w:t>
            </w:r>
          </w:p>
        </w:tc>
        <w:tc>
          <w:tcPr>
            <w:tcW w:w="10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Total investments measured at fair value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158,234,086</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158,234,086</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0"/>
        </w:trPr>
        <w:tc>
          <w:tcPr>
            <w:tcW w:w="5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availability of observable market data is monitored to assess the appropriate classification of financial instruments within the fair value hierarchy. Changes in economic conditions or model-based valuation techniques may require the transfer of financial instruments from one fair value level to another. In such instances, the transfer is reported at the beginning of the reporting period. For the years ended December 31, 2025, and 2024, there were no transfers into or out of levels 1, 2 or 3.</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J &amp; J Snack Foods Corp. 401(k) Profit Sharing Plan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B - SUMMARY OF SIGNIFICANT ACCOUNTING POLICIES – Continued</w:t>
      </w:r>
    </w:p>
    <w:p>
      <w:pPr>
        <w:spacing w:after="0" w:line="225" w:lineRule="exact"/>
        <w:rPr>
          <w:sz w:val="20"/>
          <w:szCs w:val="20"/>
          <w:color w:val="auto"/>
        </w:rPr>
      </w:pPr>
    </w:p>
    <w:p>
      <w:pPr>
        <w:ind w:left="180" w:hanging="172"/>
        <w:spacing w:after="0"/>
        <w:tabs>
          <w:tab w:leader="none" w:pos="1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Benefits</w:t>
      </w:r>
    </w:p>
    <w:p>
      <w:pPr>
        <w:spacing w:after="0" w:line="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Benefits are recorded when paid.</w:t>
      </w:r>
    </w:p>
    <w:p>
      <w:pPr>
        <w:spacing w:after="0" w:line="207" w:lineRule="exact"/>
        <w:rPr>
          <w:sz w:val="20"/>
          <w:szCs w:val="20"/>
          <w:color w:val="auto"/>
        </w:rPr>
      </w:pPr>
    </w:p>
    <w:p>
      <w:pPr>
        <w:ind w:left="180" w:hanging="172"/>
        <w:spacing w:after="0"/>
        <w:tabs>
          <w:tab w:leader="none" w:pos="1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Risks and Uncertainties</w:t>
      </w:r>
    </w:p>
    <w:p>
      <w:pPr>
        <w:spacing w:after="0" w:line="27" w:lineRule="exact"/>
        <w:rPr>
          <w:sz w:val="20"/>
          <w:szCs w:val="20"/>
          <w:color w:val="auto"/>
        </w:rPr>
      </w:pPr>
    </w:p>
    <w:p>
      <w:pPr>
        <w:jc w:val="both"/>
        <w:ind w:left="420"/>
        <w:spacing w:after="0" w:line="253" w:lineRule="auto"/>
        <w:rPr>
          <w:sz w:val="20"/>
          <w:szCs w:val="20"/>
          <w:color w:val="auto"/>
        </w:rPr>
      </w:pPr>
      <w:r>
        <w:rPr>
          <w:rFonts w:ascii="Times New Roman" w:cs="Times New Roman" w:eastAsia="Times New Roman" w:hAnsi="Times New Roman"/>
          <w:sz w:val="18"/>
          <w:szCs w:val="18"/>
          <w:color w:val="auto"/>
        </w:rPr>
        <w:t>The Plan invests in various investment securities. Investment securities are exposed to various risks such as interest rate, market, and credit risks. Due to the level of risk associated with certain investment securities, it is at least reasonably possible that changes in the values of investment securities will occur in the near term and that such changes could materially affect participant account balances and the amounts reported in the statements of net assets available for benefits.</w:t>
      </w:r>
    </w:p>
    <w:p>
      <w:pPr>
        <w:spacing w:after="0" w:line="189" w:lineRule="exact"/>
        <w:rPr>
          <w:sz w:val="20"/>
          <w:szCs w:val="20"/>
          <w:color w:val="auto"/>
        </w:rPr>
      </w:pPr>
    </w:p>
    <w:p>
      <w:pPr>
        <w:ind w:left="180" w:hanging="172"/>
        <w:spacing w:after="0"/>
        <w:tabs>
          <w:tab w:leader="none" w:pos="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Administrative Expenses</w:t>
      </w:r>
    </w:p>
    <w:p>
      <w:pPr>
        <w:spacing w:after="0" w:line="27" w:lineRule="exact"/>
        <w:rPr>
          <w:sz w:val="20"/>
          <w:szCs w:val="20"/>
          <w:color w:val="auto"/>
        </w:rPr>
      </w:pPr>
    </w:p>
    <w:p>
      <w:pPr>
        <w:ind w:left="420" w:right="20"/>
        <w:spacing w:after="0" w:line="260" w:lineRule="auto"/>
        <w:rPr>
          <w:sz w:val="20"/>
          <w:szCs w:val="20"/>
          <w:color w:val="auto"/>
        </w:rPr>
      </w:pPr>
      <w:r>
        <w:rPr>
          <w:rFonts w:ascii="Times New Roman" w:cs="Times New Roman" w:eastAsia="Times New Roman" w:hAnsi="Times New Roman"/>
          <w:sz w:val="18"/>
          <w:szCs w:val="18"/>
          <w:color w:val="auto"/>
        </w:rPr>
        <w:t>Administrative expenses of the Plan are paid by the Plan and by the participants through an asset-based charge. There are other costs associated with the Plan that are paid by the Company.</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C – SEPARATE ACCOUNT GUARANTEED INVESTMENT CONTRACT</w:t>
      </w:r>
    </w:p>
    <w:p>
      <w:pPr>
        <w:spacing w:after="0" w:line="225" w:lineRule="exact"/>
        <w:rPr>
          <w:sz w:val="20"/>
          <w:szCs w:val="20"/>
          <w:color w:val="auto"/>
        </w:rPr>
      </w:pPr>
    </w:p>
    <w:p>
      <w:pPr>
        <w:jc w:val="both"/>
        <w:ind w:left="260"/>
        <w:spacing w:after="0" w:line="256" w:lineRule="auto"/>
        <w:rPr>
          <w:sz w:val="20"/>
          <w:szCs w:val="20"/>
          <w:color w:val="auto"/>
        </w:rPr>
      </w:pPr>
      <w:r>
        <w:rPr>
          <w:rFonts w:ascii="Times New Roman" w:cs="Times New Roman" w:eastAsia="Times New Roman" w:hAnsi="Times New Roman"/>
          <w:sz w:val="18"/>
          <w:szCs w:val="18"/>
          <w:color w:val="auto"/>
        </w:rPr>
        <w:t>The Plan has entered into a benefit-responsive investment contract with Mass Mutual Retirement Services Diversified Bond Separate Investment Account (the “SAGIC”). The SAGIC maintains the contributions in a general account. The account is credited with earnings on the underlying investments and charged for participant withdrawals and administrative expenses. The contract is included in the financial statements at contract value as reported to the Plan by the SAGIC. Contract value represents contributions made under the contract, plus earnings, less participant withdrawals and administrative expenses. Participants may ordinarily direct the withdrawal or transfer of all or a portion of their investment at contract value. The guaranteed investment contract issuer is contractually obligated to repay the principal and a specified interest rate that is guaranteed to the Plan.</w:t>
      </w:r>
    </w:p>
    <w:p>
      <w:pPr>
        <w:spacing w:after="0" w:line="187" w:lineRule="exact"/>
        <w:rPr>
          <w:sz w:val="20"/>
          <w:szCs w:val="20"/>
          <w:color w:val="auto"/>
        </w:rPr>
      </w:pPr>
    </w:p>
    <w:p>
      <w:pPr>
        <w:jc w:val="both"/>
        <w:ind w:left="260"/>
        <w:spacing w:after="0" w:line="253" w:lineRule="auto"/>
        <w:rPr>
          <w:sz w:val="20"/>
          <w:szCs w:val="20"/>
          <w:color w:val="auto"/>
        </w:rPr>
      </w:pPr>
      <w:r>
        <w:rPr>
          <w:rFonts w:ascii="Times New Roman" w:cs="Times New Roman" w:eastAsia="Times New Roman" w:hAnsi="Times New Roman"/>
          <w:sz w:val="18"/>
          <w:szCs w:val="18"/>
          <w:color w:val="auto"/>
        </w:rPr>
        <w:t>Because the separate account guaranteed investment contract is fully benefit-responsive, contract value is the relevant measurement attribute for that portion of the net assets available for benefits attributable to the guaranteed investment contract. There are no reserves against contract value for credit risk of the contract issuer or otherwise. The contract value of the investment contract as of December 31, 2025 and 2024 was $10,817,790 and $12,939,526 respectively. The average crediting interest rate is calculated by dividing the annual interest credited to the participants during the plan year by the average annual fair value of the investment. The separate account guaranteed investment contract does not allow the crediting interest rate to fall below zero percent. Certain events limit the ability of the Plan to transact at contract value with the issuer. Such events include the following: (1) amendments to the Plan documents (including complete or partial Plan termination or merger with another plan), (2) changes to the Plan’s prohibition on competing investment options or deletion of equity wash provisions, (3) bankruptcy of the Plan sponsor or other Plan sponsor events (for example, divestitures or spin-offs of a subsidiary) that cause a significant withdrawal from the Plan, or (4) the failure of the trust to qualify for exemption from federal income taxes or any required prohibited transaction exemption under ERISA. The Plan administrator does not believe that any events which would limit the Plan’s ability to transact at contract value with participants are probable to occur. The separate account guaranteed investment contract does not permit the insurance company to terminate the agreement unless the Plan is not in compliance with the investment agreement. The crediting interest rate was 3.47% and 4.09% at December 31, 2025 and 2024, respectively.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J &amp; J Snack Foods Corp. 401(k) Profit Sharing Plan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D - RELATED PARTY TRANSACTIONS</w:t>
      </w:r>
    </w:p>
    <w:p>
      <w:pPr>
        <w:spacing w:after="0" w:line="225" w:lineRule="exact"/>
        <w:rPr>
          <w:sz w:val="20"/>
          <w:szCs w:val="20"/>
          <w:color w:val="auto"/>
        </w:rPr>
      </w:pPr>
    </w:p>
    <w:p>
      <w:pPr>
        <w:jc w:val="both"/>
        <w:ind w:left="260"/>
        <w:spacing w:after="0" w:line="261" w:lineRule="auto"/>
        <w:rPr>
          <w:sz w:val="20"/>
          <w:szCs w:val="20"/>
          <w:color w:val="auto"/>
        </w:rPr>
      </w:pPr>
      <w:r>
        <w:rPr>
          <w:rFonts w:ascii="Times New Roman" w:cs="Times New Roman" w:eastAsia="Times New Roman" w:hAnsi="Times New Roman"/>
          <w:sz w:val="18"/>
          <w:szCs w:val="18"/>
          <w:color w:val="auto"/>
        </w:rPr>
        <w:t>At December 31, 2025 and 2024, investments include 100,026 and 114,183 shares of the Corporation's unitized stock fund valued at $9,229,485 and $17,992,176 respectively. During the year ended December 31, 2025, the Plan purchased and sold $923,800 and $2,915,607, respectively, of the Corporation’s unitized stock fund. The Plan also permits notes receivable from participants. Accordingly, these transactions qualify as party-in-interest transactions and are exempt from the prohibited transaction rules.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E – TAX STATUS</w:t>
      </w:r>
    </w:p>
    <w:p>
      <w:pPr>
        <w:spacing w:after="0" w:line="225" w:lineRule="exact"/>
        <w:rPr>
          <w:sz w:val="20"/>
          <w:szCs w:val="20"/>
          <w:color w:val="auto"/>
        </w:rPr>
      </w:pPr>
    </w:p>
    <w:p>
      <w:pPr>
        <w:jc w:val="both"/>
        <w:ind w:left="260"/>
        <w:spacing w:after="0" w:line="256" w:lineRule="auto"/>
        <w:rPr>
          <w:sz w:val="20"/>
          <w:szCs w:val="20"/>
          <w:color w:val="auto"/>
        </w:rPr>
      </w:pPr>
      <w:r>
        <w:rPr>
          <w:rFonts w:ascii="Times New Roman" w:cs="Times New Roman" w:eastAsia="Times New Roman" w:hAnsi="Times New Roman"/>
          <w:sz w:val="18"/>
          <w:szCs w:val="18"/>
          <w:color w:val="auto"/>
        </w:rPr>
        <w:t>The Plan is a Non-standardized 401(k) Profit Sharing Prototype Plan (“Prototype Plan”) sponsored by Empower and adopted by the Company. The Prototype Plan obtained its latest opinion letter on November 14, 2022 in which the IRS stated that the Prototype Plan, as then designed, was in compliance with the applicable requirements of the Internal Revenue Code (“IRC”). The Plan has not requested its own determination letter from the IRS. The Plan administrator believes that the Plan, as amended, is currently designed and being operated in all material respects in compliance with the applicable requirements of the IRC. Therefore, the Plan administrator believes that the Plan was qualified and that the related trust was tax exempt as of the financial statement dates.</w:t>
      </w:r>
    </w:p>
    <w:p>
      <w:pPr>
        <w:spacing w:after="0" w:line="187" w:lineRule="exact"/>
        <w:rPr>
          <w:sz w:val="20"/>
          <w:szCs w:val="20"/>
          <w:color w:val="auto"/>
        </w:rPr>
      </w:pPr>
    </w:p>
    <w:p>
      <w:pPr>
        <w:jc w:val="both"/>
        <w:ind w:left="260"/>
        <w:spacing w:after="0" w:line="258" w:lineRule="auto"/>
        <w:rPr>
          <w:sz w:val="20"/>
          <w:szCs w:val="20"/>
          <w:color w:val="auto"/>
        </w:rPr>
      </w:pPr>
      <w:r>
        <w:rPr>
          <w:rFonts w:ascii="Times New Roman" w:cs="Times New Roman" w:eastAsia="Times New Roman" w:hAnsi="Times New Roman"/>
          <w:sz w:val="18"/>
          <w:szCs w:val="18"/>
          <w:color w:val="auto"/>
        </w:rPr>
        <w:t>During 2024, the Company identified certain operational errors whereby salary deferrals withheld were not consistent with certain employee elections, incorrect fees were being assessed in connection with investments in the Corporation’s unitized stock fund, and errors were made in processing certain loan repayments. The Plan made a Voluntary Compliance Program (“VCP”) submission to the IRS pursuant to the IRS Employee Plans Compliance Resolution System (“EPCRS”) to correct these operational errors. On behalf of the Plan, the Company has requested that the IRS to issue a compliance statement for the Plan under the Voluntary Correction Program (VCP) and is the process of working with the IRS.</w:t>
      </w:r>
    </w:p>
    <w:p>
      <w:pPr>
        <w:spacing w:after="0" w:line="183" w:lineRule="exact"/>
        <w:rPr>
          <w:sz w:val="20"/>
          <w:szCs w:val="20"/>
          <w:color w:val="auto"/>
        </w:rPr>
      </w:pPr>
    </w:p>
    <w:p>
      <w:pPr>
        <w:jc w:val="both"/>
        <w:ind w:left="260"/>
        <w:spacing w:after="0" w:line="258" w:lineRule="auto"/>
        <w:rPr>
          <w:sz w:val="20"/>
          <w:szCs w:val="20"/>
          <w:color w:val="auto"/>
        </w:rPr>
      </w:pPr>
      <w:r>
        <w:rPr>
          <w:rFonts w:ascii="Times New Roman" w:cs="Times New Roman" w:eastAsia="Times New Roman" w:hAnsi="Times New Roman"/>
          <w:sz w:val="18"/>
          <w:szCs w:val="18"/>
          <w:color w:val="auto"/>
        </w:rPr>
        <w:t>U.S. GAAP requires Plan management to evaluate tax positions taken by the Plan and recognize a tax liability (or asset) if the Plan has taken an uncertain position that more likely than not would not be sustained upon examination by the Internal Revenue Service. The Plan administrator has analyzed the tax positions taken by the Plan, and has concluded that as of December 31, 2025 and 2024, there are no uncertain positions taken or expected to be taken that would require recognition of a liability (or asset) or disclosure in the financial statements. The Plan is subject to routine examination by the Department of Labor and the Internal Revenue Service, of which there are none presently.</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F - PLAN TERMINATION</w:t>
      </w:r>
    </w:p>
    <w:p>
      <w:pPr>
        <w:spacing w:after="0" w:line="225" w:lineRule="exact"/>
        <w:rPr>
          <w:sz w:val="20"/>
          <w:szCs w:val="20"/>
          <w:color w:val="auto"/>
        </w:rPr>
      </w:pPr>
    </w:p>
    <w:p>
      <w:pPr>
        <w:jc w:val="both"/>
        <w:ind w:left="260" w:right="20"/>
        <w:spacing w:after="0" w:line="282" w:lineRule="auto"/>
        <w:rPr>
          <w:sz w:val="20"/>
          <w:szCs w:val="20"/>
          <w:color w:val="auto"/>
        </w:rPr>
      </w:pPr>
      <w:r>
        <w:rPr>
          <w:rFonts w:ascii="Times New Roman" w:cs="Times New Roman" w:eastAsia="Times New Roman" w:hAnsi="Times New Roman"/>
          <w:sz w:val="18"/>
          <w:szCs w:val="18"/>
          <w:color w:val="auto"/>
        </w:rPr>
        <w:t>Although it has not expressed any intent to do so, the Company has the right under the Plan to discontinue its contributions at any time and to terminate the Plan subject to the provisions of ERISA. In the event of Plan termination, participants will become 100% vested in their accounts.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G – SUBSEQUENT EVENTS</w:t>
      </w:r>
    </w:p>
    <w:p>
      <w:pPr>
        <w:spacing w:after="0" w:line="225" w:lineRule="exact"/>
        <w:rPr>
          <w:sz w:val="20"/>
          <w:szCs w:val="20"/>
          <w:color w:val="auto"/>
        </w:rPr>
      </w:pPr>
    </w:p>
    <w:p>
      <w:pPr>
        <w:jc w:val="both"/>
        <w:ind w:left="260"/>
        <w:spacing w:after="0" w:line="282" w:lineRule="auto"/>
        <w:rPr>
          <w:sz w:val="20"/>
          <w:szCs w:val="20"/>
          <w:color w:val="auto"/>
        </w:rPr>
      </w:pPr>
      <w:r>
        <w:rPr>
          <w:rFonts w:ascii="Times New Roman" w:cs="Times New Roman" w:eastAsia="Times New Roman" w:hAnsi="Times New Roman"/>
          <w:sz w:val="18"/>
          <w:szCs w:val="18"/>
          <w:color w:val="auto"/>
        </w:rPr>
        <w:t>The Plan Administrator has evaluated all subsequent events through June 23, 2026, the date the financial statements were available to be issued, noting no other events that would require adjustments to, or disclosure in, the Plan’s financial statements.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3" w:name="page14"/>
    <w:bookmarkEnd w:id="13"/>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SUPPLEMENTAL INFORMATION</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J &amp; J Snack Foods Corp. 401(k) Profit Sharing Plan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EIN: 22-1935537 PN:001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SCHEDULE H, LINE 4i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SCHEDULE OF ASSETS (HELD AT END OF YEAR)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51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 c ) Description of investment including maturity date, rate of</w:t>
            </w:r>
          </w:p>
        </w:tc>
        <w:tc>
          <w:tcPr>
            <w:tcW w:w="7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(d)</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(e) Current</w:t>
            </w:r>
          </w:p>
        </w:tc>
        <w:tc>
          <w:tcPr>
            <w:tcW w:w="0" w:type="dxa"/>
            <w:vAlign w:val="bottom"/>
          </w:tcPr>
          <w:p>
            <w:pPr>
              <w:spacing w:after="0"/>
              <w:rPr>
                <w:sz w:val="1"/>
                <w:szCs w:val="1"/>
                <w:color w:val="auto"/>
              </w:rPr>
            </w:pPr>
          </w:p>
        </w:tc>
      </w:tr>
      <w:tr>
        <w:trPr>
          <w:trHeight w:val="216"/>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9"/>
              </w:rPr>
              <w:t>(a)</w:t>
            </w:r>
          </w:p>
        </w:tc>
        <w:tc>
          <w:tcPr>
            <w:tcW w:w="4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 Identity of issue, borrower, lessor, or similar party</w:t>
            </w:r>
          </w:p>
        </w:tc>
        <w:tc>
          <w:tcPr>
            <w:tcW w:w="51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interest</w:t>
            </w: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Cost</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Value</w:t>
            </w: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51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Collateral, par, or maturity value</w:t>
            </w: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4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SAGIC DIVERSIFIED BOND I</w:t>
            </w:r>
          </w:p>
        </w:tc>
        <w:tc>
          <w:tcPr>
            <w:tcW w:w="5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Fixed Annuities</w:t>
            </w:r>
          </w:p>
        </w:tc>
        <w:tc>
          <w:tcPr>
            <w:tcW w:w="7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10,817,790</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Dreyfus Government Secs Cash Management Admin</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Mutual Fund</w:t>
            </w: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149,460</w:t>
            </w: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VANGUARD TARGET RTRMNT INCOME FD</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Mutual Fund</w:t>
            </w: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2,417,124</w:t>
            </w: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4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VANGUARD TARGET RTRMNT 2020 FD</w:t>
            </w:r>
          </w:p>
        </w:tc>
        <w:tc>
          <w:tcPr>
            <w:tcW w:w="5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Mutual Fund</w:t>
            </w:r>
          </w:p>
        </w:tc>
        <w:tc>
          <w:tcPr>
            <w:tcW w:w="7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6,650,324</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VANGUARD TARGET RTRMNT 2025 FD</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Mutual Fund</w:t>
            </w: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12,661,034</w:t>
            </w: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4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VANGUARD TARGET RTRMNT 2030 FD</w:t>
            </w:r>
          </w:p>
        </w:tc>
        <w:tc>
          <w:tcPr>
            <w:tcW w:w="5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Mutual Fund</w:t>
            </w:r>
          </w:p>
        </w:tc>
        <w:tc>
          <w:tcPr>
            <w:tcW w:w="7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27,398,288</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VANGUARD TARGET RTRMNT 2035 FD</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Mutual Fund</w:t>
            </w: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17,525,995</w:t>
            </w: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4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VANGUARD TARGET RTRMNT 2040 FD</w:t>
            </w:r>
          </w:p>
        </w:tc>
        <w:tc>
          <w:tcPr>
            <w:tcW w:w="5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Mutual Fund</w:t>
            </w:r>
          </w:p>
        </w:tc>
        <w:tc>
          <w:tcPr>
            <w:tcW w:w="7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12,336,699</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VANGUARD TARGET RTRMNT 2045 FD</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Mutual Fund</w:t>
            </w: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10,487,842</w:t>
            </w: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4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VANGUARD TARGET RTRMNT 2050 FD</w:t>
            </w:r>
          </w:p>
        </w:tc>
        <w:tc>
          <w:tcPr>
            <w:tcW w:w="5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Mutual Fund</w:t>
            </w:r>
          </w:p>
        </w:tc>
        <w:tc>
          <w:tcPr>
            <w:tcW w:w="7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5,603,879</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VANGUARD TARGET RTRMNT 2055 FD</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Mutual Fund</w:t>
            </w: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4,133,906</w:t>
            </w: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4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VANGUARD TARGET RTRMNT 2060 FD</w:t>
            </w:r>
          </w:p>
        </w:tc>
        <w:tc>
          <w:tcPr>
            <w:tcW w:w="5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Mutual Fund</w:t>
            </w:r>
          </w:p>
        </w:tc>
        <w:tc>
          <w:tcPr>
            <w:tcW w:w="7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2,534,411</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VANGUARD TARGET RTRMNT 2065 FD</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Mutual Fund</w:t>
            </w: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76,335</w:t>
            </w: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4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VANGUARD TARGET RTRMNT 2070 FD</w:t>
            </w:r>
          </w:p>
        </w:tc>
        <w:tc>
          <w:tcPr>
            <w:tcW w:w="5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Mutual Fund</w:t>
            </w:r>
          </w:p>
        </w:tc>
        <w:tc>
          <w:tcPr>
            <w:tcW w:w="7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15,890</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Harbor Small Cap Growth Retirement</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Mutual Fund</w:t>
            </w: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12,715</w:t>
            </w: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4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Principal SmallCap Value II R6</w:t>
            </w:r>
          </w:p>
        </w:tc>
        <w:tc>
          <w:tcPr>
            <w:tcW w:w="5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Mutual Fund</w:t>
            </w:r>
          </w:p>
        </w:tc>
        <w:tc>
          <w:tcPr>
            <w:tcW w:w="7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40,306</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VICTORY SYCAMORE ESTAB VAL FD</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Mutual Fund</w:t>
            </w: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1,288,155</w:t>
            </w: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4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Great Gray Trust EUPAC</w:t>
            </w:r>
          </w:p>
        </w:tc>
        <w:tc>
          <w:tcPr>
            <w:tcW w:w="5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Collective Trust</w:t>
            </w:r>
          </w:p>
        </w:tc>
        <w:tc>
          <w:tcPr>
            <w:tcW w:w="7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60,990</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NT Col ACWI ex-US IMI Fd - DC - NL - 4</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Collective Trust</w:t>
            </w: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162,577</w:t>
            </w: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4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MFS Mid Cap Growth CIT CL CT</w:t>
            </w:r>
          </w:p>
        </w:tc>
        <w:tc>
          <w:tcPr>
            <w:tcW w:w="5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Collective Trust</w:t>
            </w:r>
          </w:p>
        </w:tc>
        <w:tc>
          <w:tcPr>
            <w:tcW w:w="7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78,253</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NT COL EXT EQ MKT IDX DC NL TIER CT</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Collective Trust</w:t>
            </w: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5,088,722</w:t>
            </w: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4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NT COL R1000 GRWTH IDX DC NL TIER CT</w:t>
            </w:r>
          </w:p>
        </w:tc>
        <w:tc>
          <w:tcPr>
            <w:tcW w:w="5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Collective Trust</w:t>
            </w:r>
          </w:p>
        </w:tc>
        <w:tc>
          <w:tcPr>
            <w:tcW w:w="7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18,678,068</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NT COL R1000 VAL IDX DC NL</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Collective Trust</w:t>
            </w: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5,300,964</w:t>
            </w: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4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NT COL S&amp;P 500 IDX DC NL TIER CT</w:t>
            </w:r>
          </w:p>
        </w:tc>
        <w:tc>
          <w:tcPr>
            <w:tcW w:w="5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Collective Trust</w:t>
            </w:r>
          </w:p>
        </w:tc>
        <w:tc>
          <w:tcPr>
            <w:tcW w:w="7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16,831,320</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FIAM Core Plus Commingled Pool Class I</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Collective Trust</w:t>
            </w: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1,032,259</w:t>
            </w: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4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NT COL AGG BD IDX NL TIER CT</w:t>
            </w:r>
          </w:p>
        </w:tc>
        <w:tc>
          <w:tcPr>
            <w:tcW w:w="5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Collective Trust</w:t>
            </w:r>
          </w:p>
        </w:tc>
        <w:tc>
          <w:tcPr>
            <w:tcW w:w="7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4,464,012</w:t>
            </w:r>
          </w:p>
        </w:tc>
        <w:tc>
          <w:tcPr>
            <w:tcW w:w="0" w:type="dxa"/>
            <w:vAlign w:val="bottom"/>
          </w:tcPr>
          <w:p>
            <w:pPr>
              <w:spacing w:after="0"/>
              <w:rPr>
                <w:sz w:val="1"/>
                <w:szCs w:val="1"/>
                <w:color w:val="auto"/>
              </w:rPr>
            </w:pPr>
          </w:p>
        </w:tc>
      </w:tr>
      <w:tr>
        <w:trPr>
          <w:trHeight w:val="216"/>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J&amp;J Snack Foods Corp Company Stock</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Employer Securities</w:t>
            </w:r>
          </w:p>
        </w:tc>
        <w:tc>
          <w:tcPr>
            <w:tcW w:w="7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9,229,485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0" w:type="dxa"/>
            <w:vAlign w:val="bottom"/>
            <w:shd w:val="clear" w:color="auto" w:fill="CCEEFF"/>
          </w:tcPr>
          <w:p>
            <w:pPr>
              <w:spacing w:after="0"/>
              <w:rPr>
                <w:sz w:val="18"/>
                <w:szCs w:val="18"/>
                <w:color w:val="auto"/>
              </w:rPr>
            </w:pPr>
          </w:p>
        </w:tc>
        <w:tc>
          <w:tcPr>
            <w:tcW w:w="4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Investments</w:t>
            </w:r>
          </w:p>
        </w:tc>
        <w:tc>
          <w:tcPr>
            <w:tcW w:w="5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175,076,803</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510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Maturity Dates from January 2026 to October 2055 and Low-High</w:t>
            </w:r>
          </w:p>
        </w:tc>
        <w:tc>
          <w:tcPr>
            <w:tcW w:w="700" w:type="dxa"/>
            <w:vAlign w:val="bottom"/>
          </w:tcPr>
          <w:p>
            <w:pPr>
              <w:spacing w:after="0"/>
              <w:rPr>
                <w:sz w:val="17"/>
                <w:szCs w:val="17"/>
                <w:color w:val="auto"/>
              </w:rPr>
            </w:pPr>
          </w:p>
        </w:tc>
        <w:tc>
          <w:tcPr>
            <w:tcW w:w="11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5,349,058</w:t>
            </w:r>
          </w:p>
        </w:tc>
        <w:tc>
          <w:tcPr>
            <w:tcW w:w="0" w:type="dxa"/>
            <w:vAlign w:val="bottom"/>
          </w:tcPr>
          <w:p>
            <w:pPr>
              <w:spacing w:after="0"/>
              <w:rPr>
                <w:sz w:val="1"/>
                <w:szCs w:val="1"/>
                <w:color w:val="auto"/>
              </w:rPr>
            </w:pPr>
          </w:p>
        </w:tc>
      </w:tr>
      <w:tr>
        <w:trPr>
          <w:trHeight w:val="221"/>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Rates from 4.25% - 9.50%</w:t>
            </w:r>
          </w:p>
        </w:tc>
        <w:tc>
          <w:tcPr>
            <w:tcW w:w="70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6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Borders>
              <w:bottom w:val="single" w:sz="8" w:color="CCEEFF"/>
            </w:tcBorders>
            <w:shd w:val="clear" w:color="auto" w:fill="CCEEFF"/>
          </w:tcPr>
          <w:p>
            <w:pPr>
              <w:spacing w:after="0"/>
              <w:rPr>
                <w:sz w:val="18"/>
                <w:szCs w:val="18"/>
                <w:color w:val="auto"/>
              </w:rPr>
            </w:pPr>
          </w:p>
        </w:tc>
        <w:tc>
          <w:tcPr>
            <w:tcW w:w="4060" w:type="dxa"/>
            <w:vAlign w:val="bottom"/>
            <w:tcBorders>
              <w:bottom w:val="single" w:sz="8" w:color="CCEEFF"/>
            </w:tcBorders>
            <w:shd w:val="clear" w:color="auto" w:fill="CCEEFF"/>
          </w:tcPr>
          <w:p>
            <w:pPr>
              <w:spacing w:after="0"/>
              <w:rPr>
                <w:sz w:val="18"/>
                <w:szCs w:val="18"/>
                <w:color w:val="auto"/>
              </w:rPr>
            </w:pPr>
          </w:p>
        </w:tc>
        <w:tc>
          <w:tcPr>
            <w:tcW w:w="5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180,425,861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80" w:hanging="372"/>
        <w:spacing w:after="0"/>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Party-in-Interest</w:t>
      </w:r>
    </w:p>
    <w:p>
      <w:pPr>
        <w:spacing w:after="0" w:line="27" w:lineRule="exact"/>
        <w:rPr>
          <w:sz w:val="20"/>
          <w:szCs w:val="20"/>
          <w:color w:val="auto"/>
        </w:rPr>
      </w:pPr>
    </w:p>
    <w:p>
      <w:pPr>
        <w:ind w:left="380" w:hanging="372"/>
        <w:spacing w:after="0"/>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Omitted all investments are participant directed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20" w:type="dxa"/>
            <w:vAlign w:val="bottom"/>
            <w:gridSpan w:val="2"/>
          </w:tcPr>
          <w:p>
            <w:pPr>
              <w:jc w:val="center"/>
              <w:ind w:right="2820"/>
              <w:spacing w:after="0"/>
              <w:rPr>
                <w:sz w:val="20"/>
                <w:szCs w:val="20"/>
                <w:color w:val="auto"/>
              </w:rPr>
            </w:pPr>
            <w:r>
              <w:rPr>
                <w:rFonts w:ascii="Times New Roman" w:cs="Times New Roman" w:eastAsia="Times New Roman" w:hAnsi="Times New Roman"/>
                <w:sz w:val="18"/>
                <w:szCs w:val="18"/>
                <w:color w:val="auto"/>
                <w:w w:val="99"/>
              </w:rPr>
              <w:t>EXHIBIT INDEX</w:t>
            </w:r>
          </w:p>
        </w:tc>
      </w:tr>
      <w:tr>
        <w:trPr>
          <w:trHeight w:val="846"/>
        </w:trPr>
        <w:tc>
          <w:tcPr>
            <w:tcW w:w="300" w:type="dxa"/>
            <w:vAlign w:val="bottom"/>
          </w:tcPr>
          <w:p>
            <w:pPr>
              <w:spacing w:after="0"/>
              <w:rPr>
                <w:sz w:val="24"/>
                <w:szCs w:val="24"/>
                <w:color w:val="auto"/>
              </w:rPr>
            </w:pPr>
          </w:p>
        </w:tc>
        <w:tc>
          <w:tcPr>
            <w:tcW w:w="19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Exhibit</w:t>
            </w:r>
          </w:p>
        </w:tc>
        <w:tc>
          <w:tcPr>
            <w:tcW w:w="5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234"/>
        </w:trPr>
        <w:tc>
          <w:tcPr>
            <w:tcW w:w="3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color w:val="auto"/>
              </w:rPr>
              <w:t>Number</w:t>
            </w:r>
          </w:p>
        </w:tc>
        <w:tc>
          <w:tcPr>
            <w:tcW w:w="896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8"/>
                <w:szCs w:val="18"/>
                <w:color w:val="auto"/>
              </w:rPr>
              <w:t>Description</w:t>
            </w:r>
          </w:p>
        </w:tc>
      </w:tr>
      <w:tr>
        <w:trPr>
          <w:trHeight w:val="385"/>
        </w:trPr>
        <w:tc>
          <w:tcPr>
            <w:tcW w:w="300" w:type="dxa"/>
            <w:vAlign w:val="bottom"/>
          </w:tcPr>
          <w:p>
            <w:pPr>
              <w:spacing w:after="0"/>
              <w:rPr>
                <w:sz w:val="24"/>
                <w:szCs w:val="24"/>
                <w:color w:val="auto"/>
              </w:rPr>
            </w:pPr>
          </w:p>
        </w:tc>
        <w:tc>
          <w:tcPr>
            <w:tcW w:w="19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23.1*</w:t>
            </w:r>
          </w:p>
        </w:tc>
        <w:tc>
          <w:tcPr>
            <w:tcW w:w="896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0000EE"/>
              </w:rPr>
              <w:t>Consent of Independent Registered Public Accounting Firm</w:t>
            </w:r>
          </w:p>
        </w:tc>
      </w:tr>
      <w:tr>
        <w:trPr>
          <w:trHeight w:val="453"/>
        </w:trPr>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Filed herewith.</w:t>
            </w:r>
          </w:p>
        </w:tc>
        <w:tc>
          <w:tcPr>
            <w:tcW w:w="540" w:type="dxa"/>
            <w:vAlign w:val="bottom"/>
          </w:tcPr>
          <w:p>
            <w:pPr>
              <w:spacing w:after="0"/>
              <w:rPr>
                <w:sz w:val="24"/>
                <w:szCs w:val="24"/>
                <w:color w:val="auto"/>
              </w:rPr>
            </w:pPr>
          </w:p>
        </w:tc>
        <w:tc>
          <w:tcPr>
            <w:tcW w:w="4320" w:type="dxa"/>
            <w:vAlign w:val="bottom"/>
            <w:tcBorders>
              <w:top w:val="single" w:sz="8" w:color="0000EE"/>
            </w:tcBorders>
          </w:tcPr>
          <w:p>
            <w:pPr>
              <w:spacing w:after="0"/>
              <w:rPr>
                <w:sz w:val="24"/>
                <w:szCs w:val="24"/>
                <w:color w:val="auto"/>
              </w:rPr>
            </w:pPr>
          </w:p>
        </w:tc>
        <w:tc>
          <w:tcPr>
            <w:tcW w:w="4100" w:type="dxa"/>
            <w:vAlign w:val="bottom"/>
          </w:tcPr>
          <w:p>
            <w:pPr>
              <w:spacing w:after="0"/>
              <w:rPr>
                <w:sz w:val="24"/>
                <w:szCs w:val="24"/>
                <w:color w:val="auto"/>
              </w:rPr>
            </w:pPr>
          </w:p>
        </w:tc>
      </w:tr>
      <w:tr>
        <w:trPr>
          <w:trHeight w:val="432"/>
        </w:trPr>
        <w:tc>
          <w:tcPr>
            <w:tcW w:w="3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860" w:type="dxa"/>
            <w:vAlign w:val="bottom"/>
            <w:gridSpan w:val="2"/>
          </w:tcPr>
          <w:p>
            <w:pPr>
              <w:jc w:val="right"/>
              <w:ind w:right="1330"/>
              <w:spacing w:after="0"/>
              <w:rPr>
                <w:sz w:val="20"/>
                <w:szCs w:val="20"/>
                <w:color w:val="auto"/>
              </w:rPr>
            </w:pPr>
            <w:r>
              <w:rPr>
                <w:rFonts w:ascii="Times New Roman" w:cs="Times New Roman" w:eastAsia="Times New Roman" w:hAnsi="Times New Roman"/>
                <w:sz w:val="18"/>
                <w:szCs w:val="18"/>
                <w:color w:val="auto"/>
              </w:rPr>
              <w:t>16</w:t>
            </w:r>
          </w:p>
        </w:tc>
        <w:tc>
          <w:tcPr>
            <w:tcW w:w="4100" w:type="dxa"/>
            <w:vAlign w:val="bottom"/>
          </w:tcPr>
          <w:p>
            <w:pPr>
              <w:spacing w:after="0"/>
              <w:rPr>
                <w:sz w:val="24"/>
                <w:szCs w:val="24"/>
                <w:color w:val="auto"/>
              </w:rPr>
            </w:pPr>
          </w:p>
        </w:tc>
      </w:tr>
      <w:tr>
        <w:trPr>
          <w:trHeight w:val="115"/>
        </w:trPr>
        <w:tc>
          <w:tcPr>
            <w:tcW w:w="30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320" w:type="dxa"/>
            <w:vAlign w:val="bottom"/>
            <w:tcBorders>
              <w:bottom w:val="single" w:sz="8" w:color="auto"/>
            </w:tcBorders>
          </w:tcPr>
          <w:p>
            <w:pPr>
              <w:spacing w:after="0"/>
              <w:rPr>
                <w:sz w:val="10"/>
                <w:szCs w:val="10"/>
                <w:color w:val="auto"/>
              </w:rPr>
            </w:pPr>
          </w:p>
        </w:tc>
        <w:tc>
          <w:tcPr>
            <w:tcW w:w="4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00" w:lineRule="exact"/>
        <w:rPr>
          <w:sz w:val="20"/>
          <w:szCs w:val="20"/>
          <w:color w:val="auto"/>
        </w:rPr>
      </w:pPr>
    </w:p>
    <w:p>
      <w:pPr>
        <w:spacing w:after="0" w:line="24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J &amp; J Snack Foods Corp. Employee Benefits Committee has duly caused this annual report to be signed on its behalf by the undersigned hereunto duly authorized.</w:t>
      </w:r>
    </w:p>
    <w:p>
      <w:pPr>
        <w:spacing w:after="0" w:line="37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 &amp; J Snack Foods Corp.</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u w:val="single" w:color="auto"/>
          <w:color w:val="auto"/>
        </w:rPr>
        <w:t>401(k) Profit Sharing Plan</w:t>
      </w:r>
    </w:p>
    <w:p>
      <w:pPr>
        <w:spacing w:after="0" w:line="200" w:lineRule="exact"/>
        <w:rPr>
          <w:sz w:val="20"/>
          <w:szCs w:val="20"/>
          <w:color w:val="auto"/>
        </w:rPr>
      </w:pPr>
    </w:p>
    <w:p>
      <w:pPr>
        <w:spacing w:after="0" w:line="223" w:lineRule="exact"/>
        <w:rPr>
          <w:sz w:val="20"/>
          <w:szCs w:val="20"/>
          <w:color w:val="auto"/>
        </w:rPr>
      </w:pPr>
    </w:p>
    <w:p>
      <w:pPr>
        <w:ind w:left="2080"/>
        <w:spacing w:after="0"/>
        <w:tabs>
          <w:tab w:leader="none" w:pos="5600" w:val="left"/>
        </w:tabs>
        <w:rPr>
          <w:sz w:val="20"/>
          <w:szCs w:val="20"/>
          <w:color w:val="auto"/>
        </w:rPr>
      </w:pPr>
      <w:r>
        <w:rPr>
          <w:rFonts w:ascii="Times New Roman" w:cs="Times New Roman" w:eastAsia="Times New Roman" w:hAnsi="Times New Roman"/>
          <w:sz w:val="18"/>
          <w:szCs w:val="18"/>
          <w:color w:val="auto"/>
        </w:rPr>
        <w:t>Date: June 23, 2026</w:t>
      </w:r>
      <w:r>
        <w:rPr>
          <w:sz w:val="20"/>
          <w:szCs w:val="20"/>
          <w:color w:val="auto"/>
        </w:rPr>
        <w:tab/>
      </w:r>
      <w:r>
        <w:rPr>
          <w:rFonts w:ascii="Times New Roman" w:cs="Times New Roman" w:eastAsia="Times New Roman" w:hAnsi="Times New Roman"/>
          <w:sz w:val="17"/>
          <w:szCs w:val="17"/>
          <w:color w:val="auto"/>
        </w:rPr>
        <w:t>/s/ Shawn Munsell</w:t>
      </w: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Shawn Munsell</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Authorized Committee Member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58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Exhibit 23.1</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issued our report dated June 23, 2026, with respect to the financial statements and supplemental information included in the Annual Report of the J &amp; J Snack Foods Corp. 401(k) Profit Sharing Plan on Form 11-K for the year ended December 31, 2025. We consent to the incorporation by reference of said report in the Registration Statement of J &amp; J Snack Foods Corp. on Form S-8 (File No. 333-283558).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23, 2026</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2"/>
    </w:lvl>
  </w:abstractNum>
  <w:abstractNum w:abstractNumId="4">
    <w:nsid w:val="140E0F76"/>
    <w:multiLevelType w:val="hybridMultilevel"/>
    <w:lvl w:ilvl="0">
      <w:lvlJc w:val="left"/>
      <w:lvlText w:val="%1."/>
      <w:numFmt w:val="decimal"/>
      <w:start w:val="2"/>
    </w:lvl>
    <w:lvl w:ilvl="1">
      <w:lvlJc w:val="left"/>
      <w:lvlText w:val="●"/>
      <w:numFmt w:val="bullet"/>
      <w:start w:val="1"/>
    </w:lvl>
  </w:abstractNum>
  <w:abstractNum w:abstractNumId="5">
    <w:nsid w:val="3352255A"/>
    <w:multiLevelType w:val="hybridMultilevel"/>
    <w:lvl w:ilvl="0">
      <w:lvlJc w:val="left"/>
      <w:lvlText w:val="%1."/>
      <w:numFmt w:val="decimal"/>
      <w:start w:val="4"/>
    </w:lvl>
  </w:abstractNum>
  <w:abstractNum w:abstractNumId="6">
    <w:nsid w:val="109CF92E"/>
    <w:multiLevelType w:val="hybridMultilevel"/>
    <w:lvl w:ilvl="0">
      <w:lvlJc w:val="left"/>
      <w:lvlText w:val="%1."/>
      <w:numFmt w:val="decimal"/>
      <w:start w:val="5"/>
    </w:lvl>
  </w:abstractNum>
  <w:abstractNum w:abstractNumId="7">
    <w:nsid w:val="DED7263"/>
    <w:multiLevelType w:val="hybridMultilevel"/>
    <w:lvl w:ilvl="0">
      <w:lvlJc w:val="left"/>
      <w:lvlText w:val="%1."/>
      <w:numFmt w:val="decimal"/>
      <w:start w:val="6"/>
    </w:lvl>
  </w:abstractNum>
  <w:abstractNum w:abstractNumId="8">
    <w:nsid w:val="7FDCC233"/>
    <w:multiLevelType w:val="hybridMultilevel"/>
    <w:lvl w:ilvl="0">
      <w:lvlJc w:val="left"/>
      <w:lvlText w:val="%1."/>
      <w:numFmt w:val="decimal"/>
      <w:start w:val="7"/>
    </w:lvl>
  </w:abstractNum>
  <w:abstractNum w:abstractNumId="9">
    <w:nsid w:val="1BEFD79F"/>
    <w:multiLevelType w:val="hybridMultilevel"/>
    <w:lvl w:ilvl="0">
      <w:lvlJc w:val="left"/>
      <w:lvlText w:val="%1."/>
      <w:numFmt w:val="decimal"/>
      <w:start w:val="8"/>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decimal"/>
      <w:start w:val="2"/>
    </w:lvl>
  </w:abstractNum>
  <w:abstractNum w:abstractNumId="12">
    <w:nsid w:val="4E6AFB66"/>
    <w:multiLevelType w:val="hybridMultilevel"/>
    <w:lvl w:ilvl="0">
      <w:lvlJc w:val="left"/>
      <w:lvlText w:val="%1."/>
      <w:numFmt w:val="decimal"/>
      <w:start w:val="3"/>
    </w:lvl>
  </w:abstractNum>
  <w:abstractNum w:abstractNumId="13">
    <w:nsid w:val="25E45D32"/>
    <w:multiLevelType w:val="hybridMultilevel"/>
    <w:lvl w:ilvl="0">
      <w:lvlJc w:val="left"/>
      <w:lvlText w:val="%1."/>
      <w:numFmt w:val="decimal"/>
      <w:start w:val="4"/>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1."/>
      <w:numFmt w:val="decimal"/>
      <w:start w:val="5"/>
    </w:lvl>
  </w:abstractNum>
  <w:abstractNum w:abstractNumId="16">
    <w:nsid w:val="3F2DBA31"/>
    <w:multiLevelType w:val="hybridMultilevel"/>
    <w:lvl w:ilvl="0">
      <w:lvlJc w:val="left"/>
      <w:lvlText w:val="%1."/>
      <w:numFmt w:val="decimal"/>
      <w:start w:val="6"/>
    </w:lvl>
  </w:abstractNum>
  <w:abstractNum w:abstractNumId="17">
    <w:nsid w:val="7C83E458"/>
    <w:multiLevelType w:val="hybridMultilevel"/>
    <w:lvl w:ilvl="0">
      <w:lvlJc w:val="left"/>
      <w:lvlText w:val="%1."/>
      <w:numFmt w:val="decimal"/>
      <w:start w:val="7"/>
    </w:lvl>
  </w:abstractNum>
  <w:abstractNum w:abstractNumId="18">
    <w:nsid w:val="257130A3"/>
    <w:multiLevelType w:val="hybridMultilevel"/>
    <w:lvl w:ilvl="0">
      <w:lvlJc w:val="left"/>
      <w:lvlText w:val="*"/>
      <w:numFmt w:val="bullet"/>
      <w:start w:val="1"/>
    </w:lvl>
  </w:abstractNum>
  <w:abstractNum w:abstractNumId="19">
    <w:nsid w:val="62BBD9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2026-06-23T15:49:10Z</dcterms:created>
  <dcterms:modified xsi:type="dcterms:W3CDTF">2026-06-23T15:49:10Z</dcterms:modified>
</cp:coreProperties>
</file>